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D3DD7">
      <w:pPr>
        <w:pStyle w:val="11"/>
        <w:widowControl/>
        <w:shd w:val="clear" w:color="auto" w:fill="FFFFFF"/>
        <w:spacing w:line="560" w:lineRule="exact"/>
        <w:jc w:val="center"/>
        <w:outlineLvl w:val="1"/>
        <w:rPr>
          <w:rFonts w:hint="eastAsia" w:ascii="方正小标宋简体" w:eastAsia="方正小标宋简体" w:hAnsiTheme="minorHAnsi" w:cstheme="minorBidi"/>
          <w:color w:val="auto"/>
          <w:kern w:val="2"/>
          <w:sz w:val="44"/>
          <w:szCs w:val="48"/>
          <w:lang w:val="zh-TW" w:eastAsia="zh-CN" w:bidi="ar-SA"/>
        </w:rPr>
      </w:pPr>
    </w:p>
    <w:p w14:paraId="215E5744">
      <w:pPr>
        <w:pStyle w:val="11"/>
        <w:widowControl/>
        <w:shd w:val="clear" w:color="auto" w:fill="FFFFFF"/>
        <w:spacing w:line="560" w:lineRule="exact"/>
        <w:jc w:val="center"/>
        <w:outlineLvl w:val="1"/>
        <w:rPr>
          <w:rFonts w:hint="default" w:ascii="方正小标宋简体" w:eastAsia="方正小标宋简体" w:hAnsiTheme="minorHAnsi" w:cstheme="minorBidi"/>
          <w:color w:val="auto"/>
          <w:kern w:val="2"/>
          <w:sz w:val="44"/>
          <w:szCs w:val="48"/>
          <w:lang w:val="zh-TW" w:eastAsia="zh-CN" w:bidi="ar-SA"/>
        </w:rPr>
      </w:pPr>
      <w:r>
        <w:rPr>
          <w:rFonts w:hint="eastAsia" w:ascii="方正小标宋简体" w:eastAsia="方正小标宋简体" w:hAnsiTheme="minorHAnsi" w:cstheme="minorBidi"/>
          <w:color w:val="auto"/>
          <w:kern w:val="2"/>
          <w:sz w:val="44"/>
          <w:szCs w:val="48"/>
          <w:lang w:val="zh-TW" w:eastAsia="zh-CN" w:bidi="ar-SA"/>
        </w:rPr>
        <w:t>北京京北</w:t>
      </w:r>
      <w:r>
        <w:rPr>
          <w:rFonts w:hint="default" w:ascii="方正小标宋简体" w:eastAsia="方正小标宋简体" w:hAnsiTheme="minorHAnsi" w:cstheme="minorBidi"/>
          <w:color w:val="auto"/>
          <w:kern w:val="2"/>
          <w:sz w:val="44"/>
          <w:szCs w:val="48"/>
          <w:lang w:val="zh-TW" w:eastAsia="zh-TW" w:bidi="ar-SA"/>
        </w:rPr>
        <w:t>职业</w:t>
      </w:r>
      <w:r>
        <w:rPr>
          <w:rFonts w:hint="eastAsia" w:ascii="方正小标宋简体" w:eastAsia="方正小标宋简体" w:hAnsiTheme="minorHAnsi" w:cstheme="minorBidi"/>
          <w:color w:val="auto"/>
          <w:kern w:val="2"/>
          <w:sz w:val="44"/>
          <w:szCs w:val="48"/>
          <w:lang w:val="zh-TW" w:eastAsia="zh-CN" w:bidi="ar-SA"/>
        </w:rPr>
        <w:t>技术</w:t>
      </w:r>
      <w:r>
        <w:rPr>
          <w:rFonts w:hint="default" w:ascii="方正小标宋简体" w:eastAsia="方正小标宋简体" w:hAnsiTheme="minorHAnsi" w:cstheme="minorBidi"/>
          <w:color w:val="auto"/>
          <w:kern w:val="2"/>
          <w:sz w:val="44"/>
          <w:szCs w:val="48"/>
          <w:lang w:val="zh-TW" w:eastAsia="zh-TW" w:bidi="ar-SA"/>
        </w:rPr>
        <w:t>学院</w:t>
      </w:r>
    </w:p>
    <w:p w14:paraId="3198D634">
      <w:pPr>
        <w:pStyle w:val="11"/>
        <w:widowControl/>
        <w:shd w:val="clear" w:color="auto" w:fill="FFFFFF"/>
        <w:spacing w:line="560" w:lineRule="exact"/>
        <w:jc w:val="center"/>
        <w:outlineLvl w:val="1"/>
        <w:rPr>
          <w:rFonts w:hint="default" w:ascii="方正小标宋简体" w:eastAsia="方正小标宋简体" w:hAnsiTheme="minorHAnsi" w:cstheme="minorBidi"/>
          <w:color w:val="auto"/>
          <w:kern w:val="2"/>
          <w:sz w:val="44"/>
          <w:szCs w:val="48"/>
          <w:lang w:val="zh-TW" w:eastAsia="zh-CN" w:bidi="ar-SA"/>
        </w:rPr>
      </w:pPr>
      <w:r>
        <w:rPr>
          <w:rFonts w:hint="default" w:ascii="方正小标宋简体" w:eastAsia="方正小标宋简体" w:hAnsiTheme="minorHAnsi" w:cstheme="minorBidi"/>
          <w:color w:val="auto"/>
          <w:kern w:val="2"/>
          <w:sz w:val="44"/>
          <w:szCs w:val="48"/>
          <w:lang w:val="en-US" w:eastAsia="zh-CN" w:bidi="ar-SA"/>
        </w:rPr>
        <w:t>20</w:t>
      </w:r>
      <w:r>
        <w:rPr>
          <w:rFonts w:hint="eastAsia" w:ascii="方正小标宋简体" w:eastAsia="方正小标宋简体" w:hAnsiTheme="minorHAnsi" w:cstheme="minorBidi"/>
          <w:color w:val="auto"/>
          <w:kern w:val="2"/>
          <w:sz w:val="44"/>
          <w:szCs w:val="48"/>
          <w:lang w:val="en-US" w:eastAsia="zh-CN" w:bidi="ar-SA"/>
        </w:rPr>
        <w:t>24至</w:t>
      </w:r>
      <w:r>
        <w:rPr>
          <w:rFonts w:hint="default" w:ascii="方正小标宋简体" w:eastAsia="方正小标宋简体" w:hAnsiTheme="minorHAnsi" w:cstheme="minorBidi"/>
          <w:color w:val="auto"/>
          <w:kern w:val="2"/>
          <w:sz w:val="44"/>
          <w:szCs w:val="48"/>
          <w:lang w:val="en-US" w:eastAsia="zh-CN" w:bidi="ar-SA"/>
        </w:rPr>
        <w:t>202</w:t>
      </w:r>
      <w:r>
        <w:rPr>
          <w:rFonts w:hint="eastAsia" w:ascii="方正小标宋简体" w:eastAsia="方正小标宋简体" w:hAnsiTheme="minorHAnsi" w:cstheme="minorBidi"/>
          <w:color w:val="auto"/>
          <w:kern w:val="2"/>
          <w:sz w:val="44"/>
          <w:szCs w:val="48"/>
          <w:lang w:val="en-US" w:eastAsia="zh-CN" w:bidi="ar-SA"/>
        </w:rPr>
        <w:t>5</w:t>
      </w:r>
      <w:r>
        <w:rPr>
          <w:rFonts w:hint="default" w:ascii="方正小标宋简体" w:eastAsia="方正小标宋简体" w:hAnsiTheme="minorHAnsi" w:cstheme="minorBidi"/>
          <w:color w:val="auto"/>
          <w:kern w:val="2"/>
          <w:sz w:val="44"/>
          <w:szCs w:val="48"/>
          <w:lang w:val="zh-TW" w:eastAsia="zh-TW" w:bidi="ar-SA"/>
        </w:rPr>
        <w:t>学年度信息公开报告</w:t>
      </w:r>
    </w:p>
    <w:p w14:paraId="3AEF31BF">
      <w:pPr>
        <w:pStyle w:val="11"/>
        <w:widowControl/>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u w:color="505050"/>
          <w14:textFill>
            <w14:solidFill>
              <w14:schemeClr w14:val="tx1"/>
            </w14:solidFill>
          </w14:textFill>
        </w:rPr>
      </w:pPr>
    </w:p>
    <w:p w14:paraId="625BAF0B">
      <w:pPr>
        <w:pStyle w:val="11"/>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color w:val="000000" w:themeColor="text1"/>
          <w:kern w:val="0"/>
          <w:sz w:val="36"/>
          <w:szCs w:val="36"/>
          <w:lang w:val="zh-TW"/>
          <w14:textFill>
            <w14:solidFill>
              <w14:schemeClr w14:val="tx1"/>
            </w14:solidFill>
          </w14:textFill>
        </w:rPr>
      </w:pPr>
      <w:r>
        <w:rPr>
          <w:rFonts w:ascii="Times New Roman" w:hAnsi="Times New Roman" w:eastAsia="仿宋_GB2312" w:cs="Times New Roman"/>
          <w:color w:val="000000" w:themeColor="text1"/>
          <w:kern w:val="0"/>
          <w:sz w:val="36"/>
          <w:szCs w:val="36"/>
          <w:lang w:val="zh-TW" w:eastAsia="zh-TW"/>
          <w14:textFill>
            <w14:solidFill>
              <w14:schemeClr w14:val="tx1"/>
            </w14:solidFill>
          </w14:textFill>
        </w:rPr>
        <w:t>根据《高等学校信息公开办法》（中华人民共和国教育部令第29号）和</w:t>
      </w:r>
      <w:r>
        <w:rPr>
          <w:rFonts w:hint="default" w:ascii="Times New Roman" w:hAnsi="Times New Roman" w:eastAsia="仿宋_GB2312" w:cs="Times New Roman"/>
          <w:color w:val="000000" w:themeColor="text1"/>
          <w:kern w:val="0"/>
          <w:sz w:val="36"/>
          <w:szCs w:val="36"/>
          <w:lang w:val="zh-TW" w:eastAsia="zh-TW"/>
          <w14:textFill>
            <w14:solidFill>
              <w14:schemeClr w14:val="tx1"/>
            </w14:solidFill>
          </w14:textFill>
        </w:rPr>
        <w:t>《教育部关于公布〈高等学校信息公开事项清</w:t>
      </w:r>
      <w:r>
        <w:rPr>
          <w:rFonts w:ascii="Times New Roman" w:hAnsi="Times New Roman" w:eastAsia="仿宋_GB2312" w:cs="Times New Roman"/>
          <w:color w:val="000000" w:themeColor="text1"/>
          <w:kern w:val="0"/>
          <w:sz w:val="36"/>
          <w:szCs w:val="36"/>
          <w:lang w:val="zh-TW" w:eastAsia="zh-TW"/>
          <w14:textFill>
            <w14:solidFill>
              <w14:schemeClr w14:val="tx1"/>
            </w14:solidFill>
          </w14:textFill>
        </w:rPr>
        <w:t>单</w:t>
      </w:r>
      <w:r>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t>〉</w:t>
      </w:r>
      <w:r>
        <w:rPr>
          <w:rFonts w:ascii="Times New Roman" w:hAnsi="Times New Roman" w:eastAsia="仿宋_GB2312" w:cs="Times New Roman"/>
          <w:color w:val="000000" w:themeColor="text1"/>
          <w:kern w:val="0"/>
          <w:sz w:val="36"/>
          <w:szCs w:val="36"/>
          <w:lang w:val="zh-TW" w:eastAsia="zh-TW"/>
          <w14:textFill>
            <w14:solidFill>
              <w14:schemeClr w14:val="tx1"/>
            </w14:solidFill>
          </w14:textFill>
        </w:rPr>
        <w:t>的通知》（教办函</w:t>
      </w:r>
      <w:r>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t>〔</w:t>
      </w:r>
      <w:r>
        <w:rPr>
          <w:rFonts w:ascii="Times New Roman" w:hAnsi="Times New Roman" w:eastAsia="仿宋_GB2312" w:cs="Times New Roman"/>
          <w:color w:val="000000" w:themeColor="text1"/>
          <w:kern w:val="0"/>
          <w:sz w:val="36"/>
          <w:szCs w:val="36"/>
          <w:lang w:val="zh-TW" w:eastAsia="zh-TW"/>
          <w14:textFill>
            <w14:solidFill>
              <w14:schemeClr w14:val="tx1"/>
            </w14:solidFill>
          </w14:textFill>
        </w:rPr>
        <w:t>2014</w:t>
      </w:r>
      <w:r>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t>〕</w:t>
      </w:r>
      <w:r>
        <w:rPr>
          <w:rFonts w:ascii="Times New Roman" w:hAnsi="Times New Roman" w:eastAsia="仿宋_GB2312" w:cs="Times New Roman"/>
          <w:color w:val="000000" w:themeColor="text1"/>
          <w:kern w:val="0"/>
          <w:sz w:val="36"/>
          <w:szCs w:val="36"/>
          <w:lang w:val="zh-TW" w:eastAsia="zh-TW"/>
          <w14:textFill>
            <w14:solidFill>
              <w14:schemeClr w14:val="tx1"/>
            </w14:solidFill>
          </w14:textFill>
        </w:rPr>
        <w:t>23号）文件精神，</w:t>
      </w:r>
      <w:r>
        <w:rPr>
          <w:rFonts w:hint="default" w:ascii="Times New Roman" w:hAnsi="Times New Roman" w:eastAsia="仿宋_GB2312" w:cs="Times New Roman"/>
          <w:color w:val="000000" w:themeColor="text1"/>
          <w:kern w:val="0"/>
          <w:sz w:val="36"/>
          <w:szCs w:val="36"/>
          <w:lang w:val="zh-TW" w:eastAsia="zh-TW"/>
          <w14:textFill>
            <w14:solidFill>
              <w14:schemeClr w14:val="tx1"/>
            </w14:solidFill>
          </w14:textFill>
        </w:rPr>
        <w:t>结合学院20</w:t>
      </w:r>
      <w:r>
        <w:rPr>
          <w:rFonts w:ascii="Times New Roman" w:hAnsi="Times New Roman" w:eastAsia="仿宋_GB2312" w:cs="Times New Roman"/>
          <w:color w:val="000000" w:themeColor="text1"/>
          <w:kern w:val="0"/>
          <w:sz w:val="36"/>
          <w:szCs w:val="36"/>
          <w:lang w:val="zh-TW" w:eastAsia="zh-TW"/>
          <w14:textFill>
            <w14:solidFill>
              <w14:schemeClr w14:val="tx1"/>
            </w14:solidFill>
          </w14:textFill>
        </w:rPr>
        <w:t>2</w:t>
      </w:r>
      <w:r>
        <w:rPr>
          <w:rFonts w:hint="eastAsia" w:ascii="Times New Roman" w:hAnsi="Times New Roman" w:eastAsia="仿宋_GB2312" w:cs="Times New Roman"/>
          <w:color w:val="000000" w:themeColor="text1"/>
          <w:kern w:val="0"/>
          <w:sz w:val="36"/>
          <w:szCs w:val="36"/>
          <w:lang w:val="en-US" w:eastAsia="zh-CN"/>
          <w14:textFill>
            <w14:solidFill>
              <w14:schemeClr w14:val="tx1"/>
            </w14:solidFill>
          </w14:textFill>
        </w:rPr>
        <w:t>4至</w:t>
      </w:r>
      <w:r>
        <w:rPr>
          <w:rFonts w:hint="default" w:ascii="Times New Roman" w:hAnsi="Times New Roman" w:eastAsia="仿宋_GB2312" w:cs="Times New Roman"/>
          <w:color w:val="000000" w:themeColor="text1"/>
          <w:kern w:val="0"/>
          <w:sz w:val="36"/>
          <w:szCs w:val="36"/>
          <w:lang w:val="zh-TW" w:eastAsia="zh-TW"/>
          <w14:textFill>
            <w14:solidFill>
              <w14:schemeClr w14:val="tx1"/>
            </w14:solidFill>
          </w14:textFill>
        </w:rPr>
        <w:t>202</w:t>
      </w:r>
      <w:r>
        <w:rPr>
          <w:rFonts w:hint="eastAsia" w:ascii="Times New Roman" w:hAnsi="Times New Roman" w:eastAsia="仿宋_GB2312" w:cs="Times New Roman"/>
          <w:color w:val="000000" w:themeColor="text1"/>
          <w:kern w:val="0"/>
          <w:sz w:val="36"/>
          <w:szCs w:val="36"/>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6"/>
          <w:szCs w:val="36"/>
          <w:lang w:val="zh-TW" w:eastAsia="zh-TW"/>
          <w14:textFill>
            <w14:solidFill>
              <w14:schemeClr w14:val="tx1"/>
            </w14:solidFill>
          </w14:textFill>
        </w:rPr>
        <w:t>学年度信息公开工作</w:t>
      </w:r>
      <w:r>
        <w:rPr>
          <w:rFonts w:ascii="Times New Roman" w:hAnsi="Times New Roman" w:eastAsia="仿宋_GB2312" w:cs="Times New Roman"/>
          <w:color w:val="000000" w:themeColor="text1"/>
          <w:kern w:val="0"/>
          <w:sz w:val="36"/>
          <w:szCs w:val="36"/>
          <w:lang w:val="zh-TW" w:eastAsia="zh-TW"/>
          <w14:textFill>
            <w14:solidFill>
              <w14:schemeClr w14:val="tx1"/>
            </w14:solidFill>
          </w14:textFill>
        </w:rPr>
        <w:t>情况，编制信息公开年度报告，统计数据的时间为202</w:t>
      </w:r>
      <w:r>
        <w:rPr>
          <w:rFonts w:hint="eastAsia" w:ascii="Times New Roman" w:hAnsi="Times New Roman" w:eastAsia="仿宋_GB2312" w:cs="Times New Roman"/>
          <w:color w:val="000000" w:themeColor="text1"/>
          <w:kern w:val="0"/>
          <w:sz w:val="36"/>
          <w:szCs w:val="36"/>
          <w:lang w:val="en-US" w:eastAsia="zh-CN"/>
          <w14:textFill>
            <w14:solidFill>
              <w14:schemeClr w14:val="tx1"/>
            </w14:solidFill>
          </w14:textFill>
        </w:rPr>
        <w:t>4</w:t>
      </w:r>
      <w:r>
        <w:rPr>
          <w:rFonts w:ascii="Times New Roman" w:hAnsi="Times New Roman" w:eastAsia="仿宋_GB2312" w:cs="Times New Roman"/>
          <w:color w:val="000000" w:themeColor="text1"/>
          <w:kern w:val="0"/>
          <w:sz w:val="36"/>
          <w:szCs w:val="36"/>
          <w:lang w:val="zh-TW" w:eastAsia="zh-TW"/>
          <w14:textFill>
            <w14:solidFill>
              <w14:schemeClr w14:val="tx1"/>
            </w14:solidFill>
          </w14:textFill>
        </w:rPr>
        <w:t>年9月1日至202</w:t>
      </w:r>
      <w:r>
        <w:rPr>
          <w:rFonts w:hint="eastAsia" w:ascii="Times New Roman" w:hAnsi="Times New Roman" w:eastAsia="仿宋_GB2312" w:cs="Times New Roman"/>
          <w:color w:val="000000" w:themeColor="text1"/>
          <w:kern w:val="0"/>
          <w:sz w:val="36"/>
          <w:szCs w:val="36"/>
          <w:lang w:val="en-US" w:eastAsia="zh-CN"/>
          <w14:textFill>
            <w14:solidFill>
              <w14:schemeClr w14:val="tx1"/>
            </w14:solidFill>
          </w14:textFill>
        </w:rPr>
        <w:t>5</w:t>
      </w:r>
      <w:r>
        <w:rPr>
          <w:rFonts w:ascii="Times New Roman" w:hAnsi="Times New Roman" w:eastAsia="仿宋_GB2312" w:cs="Times New Roman"/>
          <w:color w:val="000000" w:themeColor="text1"/>
          <w:kern w:val="0"/>
          <w:sz w:val="36"/>
          <w:szCs w:val="36"/>
          <w:lang w:val="zh-TW" w:eastAsia="zh-TW"/>
          <w14:textFill>
            <w14:solidFill>
              <w14:schemeClr w14:val="tx1"/>
            </w14:solidFill>
          </w14:textFill>
        </w:rPr>
        <w:t>年8月31日。</w:t>
      </w:r>
    </w:p>
    <w:p w14:paraId="68FB466A">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default" w:cs="Times New Roman" w:asciiTheme="majorEastAsia" w:hAnsiTheme="majorEastAsia" w:eastAsiaTheme="majorEastAsia"/>
          <w:color w:val="000000" w:themeColor="text1"/>
          <w:kern w:val="0"/>
          <w:sz w:val="36"/>
          <w:szCs w:val="36"/>
          <w:lang w:val="zh-TW" w:eastAsia="zh-TW"/>
          <w14:textFill>
            <w14:solidFill>
              <w14:schemeClr w14:val="tx1"/>
            </w14:solidFill>
          </w14:textFill>
        </w:rPr>
      </w:pPr>
      <w:r>
        <w:rPr>
          <w:rFonts w:cs="Times New Roman" w:asciiTheme="majorEastAsia" w:hAnsiTheme="majorEastAsia" w:eastAsiaTheme="majorEastAsia"/>
          <w:color w:val="000000" w:themeColor="text1"/>
          <w:kern w:val="0"/>
          <w:sz w:val="36"/>
          <w:szCs w:val="36"/>
          <w:lang w:val="zh-TW" w:eastAsia="zh-TW"/>
          <w14:textFill>
            <w14:solidFill>
              <w14:schemeClr w14:val="tx1"/>
            </w14:solidFill>
          </w14:textFill>
        </w:rPr>
        <w:t>一、概述</w:t>
      </w:r>
    </w:p>
    <w:p w14:paraId="6C868810">
      <w:pPr>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eastAsia="仿宋_GB2312"/>
          <w:color w:val="000000" w:themeColor="text1"/>
          <w:sz w:val="36"/>
          <w:szCs w:val="36"/>
          <w:lang w:val="zh-TW" w:eastAsia="zh-CN"/>
          <w14:textFill>
            <w14:solidFill>
              <w14:schemeClr w14:val="tx1"/>
            </w14:solidFill>
          </w14:textFill>
        </w:rPr>
      </w:pPr>
      <w:r>
        <w:rPr>
          <w:rFonts w:hint="eastAsia" w:eastAsia="仿宋_GB2312"/>
          <w:color w:val="000000" w:themeColor="text1"/>
          <w:sz w:val="36"/>
          <w:szCs w:val="36"/>
          <w:lang w:val="zh-TW" w:eastAsia="zh-CN"/>
          <w14:textFill>
            <w14:solidFill>
              <w14:schemeClr w14:val="tx1"/>
            </w14:solidFill>
          </w14:textFill>
        </w:rPr>
        <w:t>2024</w:t>
      </w:r>
      <w:r>
        <w:rPr>
          <w:rFonts w:hint="eastAsia" w:eastAsia="仿宋_GB2312"/>
          <w:color w:val="000000" w:themeColor="text1"/>
          <w:sz w:val="36"/>
          <w:szCs w:val="36"/>
          <w:lang w:val="en-US" w:eastAsia="zh-CN"/>
          <w14:textFill>
            <w14:solidFill>
              <w14:schemeClr w14:val="tx1"/>
            </w14:solidFill>
          </w14:textFill>
        </w:rPr>
        <w:t>至</w:t>
      </w:r>
      <w:r>
        <w:rPr>
          <w:rFonts w:hint="eastAsia" w:eastAsia="仿宋_GB2312"/>
          <w:color w:val="000000" w:themeColor="text1"/>
          <w:sz w:val="36"/>
          <w:szCs w:val="36"/>
          <w:lang w:val="zh-TW" w:eastAsia="zh-CN"/>
          <w14:textFill>
            <w14:solidFill>
              <w14:schemeClr w14:val="tx1"/>
            </w14:solidFill>
          </w14:textFill>
        </w:rPr>
        <w:t>2025学年度</w:t>
      </w:r>
      <w:r>
        <w:rPr>
          <w:rFonts w:hint="eastAsia" w:eastAsia="仿宋_GB2312"/>
          <w:color w:val="000000" w:themeColor="text1"/>
          <w:sz w:val="36"/>
          <w:szCs w:val="36"/>
          <w:u w:color="000000"/>
          <w:lang w:val="zh-TW" w:eastAsia="zh-TW"/>
          <w14:textFill>
            <w14:solidFill>
              <w14:schemeClr w14:val="tx1"/>
            </w14:solidFill>
          </w14:textFill>
        </w:rPr>
        <w:t>，北京京北职业技术学院严格贯彻《高等学校信息公开办法》及《高等学校信息公开事项清单》要求，把深化信息公开作为推进学院治理体系和治理能力现代化的重要举措。学院立足职业教育类型特色，坚持“以公开促规范、以透明提效能”的工作导向，持续完善信息发布渠道和政策解读机制，切实保障师生员工及社会公众的知情权、参与权和监督权。</w:t>
      </w:r>
      <w:r>
        <w:rPr>
          <w:rFonts w:hint="eastAsia" w:eastAsia="仿宋_GB2312"/>
          <w:color w:val="000000" w:themeColor="text1"/>
          <w:sz w:val="36"/>
          <w:szCs w:val="36"/>
          <w:u w:color="000000"/>
          <w:lang w:val="en-US" w:eastAsia="zh-CN"/>
          <w14:textFill>
            <w14:solidFill>
              <w14:schemeClr w14:val="tx1"/>
            </w14:solidFill>
          </w14:textFill>
        </w:rPr>
        <w:t>学院</w:t>
      </w:r>
      <w:r>
        <w:rPr>
          <w:rFonts w:hint="eastAsia" w:eastAsia="仿宋_GB2312"/>
          <w:color w:val="000000" w:themeColor="text1"/>
          <w:sz w:val="36"/>
          <w:szCs w:val="36"/>
          <w:u w:color="000000"/>
          <w:lang w:val="zh-TW" w:eastAsia="zh-TW"/>
          <w14:textFill>
            <w14:solidFill>
              <w14:schemeClr w14:val="tx1"/>
            </w14:solidFill>
          </w14:textFill>
        </w:rPr>
        <w:t>将信息公开融入学院管理与服务全过程，不断提升办学透明度与社会公信力，为学院深化产教融合、提升人才培养质量，更好服务区域经济社会发展营造了良好的制度环境。</w:t>
      </w:r>
    </w:p>
    <w:p w14:paraId="2BDCE2B4">
      <w:pPr>
        <w:keepNext w:val="0"/>
        <w:keepLines w:val="0"/>
        <w:pageBreakBefore w:val="0"/>
        <w:kinsoku/>
        <w:wordWrap/>
        <w:overflowPunct/>
        <w:topLinePunct w:val="0"/>
        <w:autoSpaceDE/>
        <w:autoSpaceDN/>
        <w:bidi w:val="0"/>
        <w:adjustRightInd/>
        <w:snapToGrid/>
        <w:spacing w:line="560" w:lineRule="exact"/>
        <w:ind w:firstLine="645"/>
        <w:textAlignment w:val="auto"/>
        <w:rPr>
          <w:rFonts w:ascii="楷体" w:hAnsi="楷体" w:eastAsia="楷体"/>
          <w:color w:val="000000" w:themeColor="text1"/>
          <w:sz w:val="36"/>
          <w:szCs w:val="36"/>
          <w:lang w:val="zh-TW" w:eastAsia="zh-CN"/>
          <w14:textFill>
            <w14:solidFill>
              <w14:schemeClr w14:val="tx1"/>
            </w14:solidFill>
          </w14:textFill>
        </w:rPr>
      </w:pPr>
      <w:r>
        <w:rPr>
          <w:rFonts w:hint="eastAsia" w:ascii="楷体" w:hAnsi="楷体" w:eastAsia="楷体"/>
          <w:color w:val="000000" w:themeColor="text1"/>
          <w:sz w:val="36"/>
          <w:szCs w:val="36"/>
          <w:shd w:val="clear" w:color="auto" w:fill="FFFFFF"/>
          <w:lang w:eastAsia="zh-CN"/>
          <w14:textFill>
            <w14:solidFill>
              <w14:schemeClr w14:val="tx1"/>
            </w14:solidFill>
          </w14:textFill>
        </w:rPr>
        <w:t>（一）加强组织领导，健全工作机制</w:t>
      </w:r>
    </w:p>
    <w:p w14:paraId="6E48A828">
      <w:pPr>
        <w:keepNext w:val="0"/>
        <w:keepLines w:val="0"/>
        <w:pageBreakBefore w:val="0"/>
        <w:kinsoku/>
        <w:wordWrap/>
        <w:overflowPunct/>
        <w:topLinePunct w:val="0"/>
        <w:autoSpaceDE/>
        <w:autoSpaceDN/>
        <w:bidi w:val="0"/>
        <w:adjustRightInd/>
        <w:snapToGrid/>
        <w:spacing w:line="560" w:lineRule="exact"/>
        <w:ind w:firstLine="645"/>
        <w:textAlignment w:val="auto"/>
        <w:rPr>
          <w:rFonts w:eastAsia="仿宋_GB2312"/>
          <w:color w:val="000000" w:themeColor="text1"/>
          <w:sz w:val="36"/>
          <w:szCs w:val="36"/>
          <w:lang w:val="zh-TW" w:eastAsia="zh-CN"/>
          <w14:textFill>
            <w14:solidFill>
              <w14:schemeClr w14:val="tx1"/>
            </w14:solidFill>
          </w14:textFill>
        </w:rPr>
      </w:pPr>
      <w:r>
        <w:rPr>
          <w:rFonts w:hint="eastAsia" w:eastAsia="仿宋_GB2312"/>
          <w:color w:val="000000" w:themeColor="text1"/>
          <w:sz w:val="36"/>
          <w:szCs w:val="36"/>
          <w:lang w:val="zh-TW" w:eastAsia="zh-TW"/>
          <w14:textFill>
            <w14:solidFill>
              <w14:schemeClr w14:val="tx1"/>
            </w14:solidFill>
          </w14:textFill>
        </w:rPr>
        <w:t>为切实提升信息公开工作水平，学院认真贯彻教育部、市委、市政府及市教委决策部署，完善信息公开机制，健全组织体系。各部门主要负责人切实履行第一责任人职责，明确专人负责具体事务，形成职责明确、分工清晰、协调有序的工作格局，为信息公开顺利推进提供了坚实的组织保障。</w:t>
      </w:r>
    </w:p>
    <w:p w14:paraId="22D2D770">
      <w:pPr>
        <w:keepNext w:val="0"/>
        <w:keepLines w:val="0"/>
        <w:pageBreakBefore w:val="0"/>
        <w:kinsoku/>
        <w:wordWrap/>
        <w:overflowPunct/>
        <w:topLinePunct w:val="0"/>
        <w:autoSpaceDE/>
        <w:autoSpaceDN/>
        <w:bidi w:val="0"/>
        <w:adjustRightInd/>
        <w:snapToGrid/>
        <w:spacing w:line="560" w:lineRule="exact"/>
        <w:ind w:firstLine="645"/>
        <w:textAlignment w:val="auto"/>
        <w:rPr>
          <w:rFonts w:ascii="微软雅黑" w:hAnsi="微软雅黑" w:eastAsia="微软雅黑"/>
          <w:color w:val="000000" w:themeColor="text1"/>
          <w:sz w:val="36"/>
          <w:szCs w:val="36"/>
          <w:lang w:eastAsia="zh-CN"/>
          <w14:textFill>
            <w14:solidFill>
              <w14:schemeClr w14:val="tx1"/>
            </w14:solidFill>
          </w14:textFill>
        </w:rPr>
      </w:pPr>
      <w:r>
        <w:rPr>
          <w:rFonts w:hint="eastAsia" w:ascii="楷体" w:hAnsi="楷体" w:eastAsia="楷体"/>
          <w:color w:val="000000" w:themeColor="text1"/>
          <w:sz w:val="36"/>
          <w:szCs w:val="36"/>
          <w:shd w:val="clear" w:color="auto" w:fill="FFFFFF"/>
          <w:lang w:eastAsia="zh-CN"/>
          <w14:textFill>
            <w14:solidFill>
              <w14:schemeClr w14:val="tx1"/>
            </w14:solidFill>
          </w14:textFill>
        </w:rPr>
        <w:t>（二）强化监督检查，确保落实到位</w:t>
      </w:r>
    </w:p>
    <w:p w14:paraId="23F875DB">
      <w:pPr>
        <w:keepNext w:val="0"/>
        <w:keepLines w:val="0"/>
        <w:pageBreakBefore w:val="0"/>
        <w:kinsoku/>
        <w:wordWrap/>
        <w:overflowPunct/>
        <w:topLinePunct w:val="0"/>
        <w:autoSpaceDE/>
        <w:autoSpaceDN/>
        <w:bidi w:val="0"/>
        <w:adjustRightInd/>
        <w:snapToGrid/>
        <w:spacing w:line="560" w:lineRule="exact"/>
        <w:ind w:firstLine="645"/>
        <w:textAlignment w:val="auto"/>
        <w:rPr>
          <w:rFonts w:eastAsia="仿宋_GB2312"/>
          <w:color w:val="000000" w:themeColor="text1"/>
          <w:sz w:val="36"/>
          <w:szCs w:val="36"/>
          <w:lang w:val="zh-TW" w:eastAsia="zh-CN"/>
          <w14:textFill>
            <w14:solidFill>
              <w14:schemeClr w14:val="tx1"/>
            </w14:solidFill>
          </w14:textFill>
        </w:rPr>
      </w:pPr>
      <w:r>
        <w:rPr>
          <w:rFonts w:hint="eastAsia" w:eastAsia="仿宋_GB2312"/>
          <w:color w:val="000000" w:themeColor="text1"/>
          <w:sz w:val="36"/>
          <w:szCs w:val="36"/>
          <w:lang w:val="zh-TW" w:eastAsia="zh-CN"/>
          <w14:textFill>
            <w14:solidFill>
              <w14:schemeClr w14:val="tx1"/>
            </w14:solidFill>
          </w14:textFill>
        </w:rPr>
        <w:t>为</w:t>
      </w:r>
      <w:r>
        <w:rPr>
          <w:rFonts w:hint="eastAsia" w:eastAsia="仿宋_GB2312"/>
          <w:color w:val="000000" w:themeColor="text1"/>
          <w:sz w:val="36"/>
          <w:szCs w:val="36"/>
          <w:lang w:val="en-US" w:eastAsia="zh-CN"/>
          <w14:textFill>
            <w14:solidFill>
              <w14:schemeClr w14:val="tx1"/>
            </w14:solidFill>
          </w14:textFill>
        </w:rPr>
        <w:t>确保</w:t>
      </w:r>
      <w:r>
        <w:rPr>
          <w:rFonts w:hint="eastAsia" w:eastAsia="仿宋_GB2312"/>
          <w:color w:val="000000" w:themeColor="text1"/>
          <w:sz w:val="36"/>
          <w:szCs w:val="36"/>
          <w:lang w:val="zh-TW" w:eastAsia="zh-CN"/>
          <w14:textFill>
            <w14:solidFill>
              <w14:schemeClr w14:val="tx1"/>
            </w14:solidFill>
          </w14:textFill>
        </w:rPr>
        <w:t>信息公开制度</w:t>
      </w:r>
      <w:r>
        <w:rPr>
          <w:rFonts w:hint="eastAsia" w:eastAsia="仿宋_GB2312"/>
          <w:color w:val="000000" w:themeColor="text1"/>
          <w:sz w:val="36"/>
          <w:szCs w:val="36"/>
          <w:lang w:val="en-US" w:eastAsia="zh-CN"/>
          <w14:textFill>
            <w14:solidFill>
              <w14:schemeClr w14:val="tx1"/>
            </w14:solidFill>
          </w14:textFill>
        </w:rPr>
        <w:t>落实</w:t>
      </w:r>
      <w:r>
        <w:rPr>
          <w:rFonts w:hint="eastAsia" w:eastAsia="仿宋_GB2312"/>
          <w:color w:val="000000" w:themeColor="text1"/>
          <w:sz w:val="36"/>
          <w:szCs w:val="36"/>
          <w:lang w:val="zh-TW" w:eastAsia="zh-CN"/>
          <w14:textFill>
            <w14:solidFill>
              <w14:schemeClr w14:val="tx1"/>
            </w14:solidFill>
          </w14:textFill>
        </w:rPr>
        <w:t>到位，</w:t>
      </w:r>
      <w:r>
        <w:rPr>
          <w:rFonts w:hint="eastAsia" w:eastAsia="仿宋_GB2312"/>
          <w:color w:val="000000" w:themeColor="text1"/>
          <w:sz w:val="36"/>
          <w:szCs w:val="36"/>
          <w:lang w:val="en-US" w:eastAsia="zh-CN"/>
          <w14:textFill>
            <w14:solidFill>
              <w14:schemeClr w14:val="tx1"/>
            </w14:solidFill>
          </w14:textFill>
        </w:rPr>
        <w:t>学院</w:t>
      </w:r>
      <w:r>
        <w:rPr>
          <w:rFonts w:hint="eastAsia" w:eastAsia="仿宋_GB2312"/>
          <w:color w:val="000000" w:themeColor="text1"/>
          <w:sz w:val="36"/>
          <w:szCs w:val="36"/>
          <w:lang w:val="zh-TW" w:eastAsia="zh-CN"/>
          <w14:textFill>
            <w14:solidFill>
              <w14:schemeClr w14:val="tx1"/>
            </w14:solidFill>
          </w14:textFill>
        </w:rPr>
        <w:t>持续完善监督检查机制，将信息公开纳入重点工作考核。通过定期检查、专项评估、结果通报等</w:t>
      </w:r>
      <w:r>
        <w:rPr>
          <w:rFonts w:hint="eastAsia" w:eastAsia="仿宋_GB2312"/>
          <w:color w:val="000000" w:themeColor="text1"/>
          <w:sz w:val="36"/>
          <w:szCs w:val="36"/>
          <w:lang w:val="en-US" w:eastAsia="zh-CN"/>
          <w14:textFill>
            <w14:solidFill>
              <w14:schemeClr w14:val="tx1"/>
            </w14:solidFill>
          </w14:textFill>
        </w:rPr>
        <w:t>方式</w:t>
      </w:r>
      <w:r>
        <w:rPr>
          <w:rFonts w:hint="eastAsia" w:eastAsia="仿宋_GB2312"/>
          <w:color w:val="000000" w:themeColor="text1"/>
          <w:sz w:val="36"/>
          <w:szCs w:val="36"/>
          <w:lang w:val="zh-TW" w:eastAsia="zh-CN"/>
          <w14:textFill>
            <w14:solidFill>
              <w14:schemeClr w14:val="tx1"/>
            </w14:solidFill>
          </w14:textFill>
        </w:rPr>
        <w:t>，强化对信息公开全过程的监管。对重大事项、重点领域、重要决策，严格规范程序、确保内容透明，切实提升信息公开的实效性和公信力。</w:t>
      </w:r>
    </w:p>
    <w:p w14:paraId="4468642C">
      <w:pPr>
        <w:keepNext w:val="0"/>
        <w:keepLines w:val="0"/>
        <w:pageBreakBefore w:val="0"/>
        <w:kinsoku/>
        <w:wordWrap/>
        <w:overflowPunct/>
        <w:topLinePunct w:val="0"/>
        <w:autoSpaceDE/>
        <w:autoSpaceDN/>
        <w:bidi w:val="0"/>
        <w:adjustRightInd/>
        <w:snapToGrid/>
        <w:spacing w:line="560" w:lineRule="exact"/>
        <w:ind w:firstLine="645"/>
        <w:textAlignment w:val="auto"/>
        <w:rPr>
          <w:rFonts w:ascii="微软雅黑" w:hAnsi="微软雅黑" w:eastAsia="微软雅黑"/>
          <w:color w:val="000000" w:themeColor="text1"/>
          <w:sz w:val="36"/>
          <w:szCs w:val="36"/>
          <w:lang w:eastAsia="zh-CN"/>
          <w14:textFill>
            <w14:solidFill>
              <w14:schemeClr w14:val="tx1"/>
            </w14:solidFill>
          </w14:textFill>
        </w:rPr>
      </w:pPr>
      <w:r>
        <w:rPr>
          <w:rFonts w:hint="eastAsia" w:ascii="楷体" w:hAnsi="楷体" w:eastAsia="楷体"/>
          <w:color w:val="000000" w:themeColor="text1"/>
          <w:sz w:val="36"/>
          <w:szCs w:val="36"/>
          <w:shd w:val="clear" w:color="auto" w:fill="FFFFFF"/>
          <w:lang w:eastAsia="zh-CN"/>
          <w14:textFill>
            <w14:solidFill>
              <w14:schemeClr w14:val="tx1"/>
            </w14:solidFill>
          </w14:textFill>
        </w:rPr>
        <w:t>（三）严格内容审查，提升公开质量</w:t>
      </w:r>
    </w:p>
    <w:p w14:paraId="76D4E95B">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eastAsia="仿宋_GB2312"/>
          <w:color w:val="000000" w:themeColor="text1"/>
          <w:sz w:val="36"/>
          <w:szCs w:val="36"/>
          <w:lang w:val="zh-TW" w:eastAsia="zh-CN"/>
          <w14:textFill>
            <w14:solidFill>
              <w14:schemeClr w14:val="tx1"/>
            </w14:solidFill>
          </w14:textFill>
        </w:rPr>
      </w:pPr>
      <w:r>
        <w:rPr>
          <w:rFonts w:hint="eastAsia" w:eastAsia="仿宋_GB2312"/>
          <w:color w:val="000000" w:themeColor="text1"/>
          <w:sz w:val="36"/>
          <w:szCs w:val="36"/>
          <w:lang w:val="zh-TW" w:eastAsia="zh-CN"/>
          <w14:textFill>
            <w14:solidFill>
              <w14:schemeClr w14:val="tx1"/>
            </w14:solidFill>
          </w14:textFill>
        </w:rPr>
        <w:t>为</w:t>
      </w:r>
      <w:r>
        <w:rPr>
          <w:rFonts w:hint="eastAsia" w:eastAsia="仿宋_GB2312"/>
          <w:color w:val="000000" w:themeColor="text1"/>
          <w:sz w:val="36"/>
          <w:szCs w:val="36"/>
          <w:lang w:val="en-US" w:eastAsia="zh-CN"/>
          <w14:textFill>
            <w14:solidFill>
              <w14:schemeClr w14:val="tx1"/>
            </w14:solidFill>
          </w14:textFill>
        </w:rPr>
        <w:t>提升</w:t>
      </w:r>
      <w:r>
        <w:rPr>
          <w:rFonts w:hint="eastAsia" w:eastAsia="仿宋_GB2312"/>
          <w:color w:val="000000" w:themeColor="text1"/>
          <w:sz w:val="36"/>
          <w:szCs w:val="36"/>
          <w:lang w:val="zh-TW" w:eastAsia="zh-CN"/>
          <w14:textFill>
            <w14:solidFill>
              <w14:schemeClr w14:val="tx1"/>
            </w14:solidFill>
          </w14:textFill>
        </w:rPr>
        <w:t>信息公开的规范性和准确性，学院严格落实内容审查制度，坚决杜绝“应公开不公开”“选择性公开”等现象。公开内容聚焦师生和社会公众关切的重点问题，确保信息真实、全面、及时。同时，完善公开资料归档和备查机制，确保信息发布有据可查、管理规范，全面提升信息公开工作的质量与水平。</w:t>
      </w:r>
    </w:p>
    <w:p w14:paraId="74848B99">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eastAsia="仿宋_GB2312"/>
          <w:color w:val="000000" w:themeColor="text1"/>
          <w:sz w:val="36"/>
          <w:szCs w:val="36"/>
          <w:lang w:val="zh-TW" w:eastAsia="zh-CN"/>
          <w14:textFill>
            <w14:solidFill>
              <w14:schemeClr w14:val="tx1"/>
            </w14:solidFill>
          </w14:textFill>
        </w:rPr>
      </w:pPr>
    </w:p>
    <w:p w14:paraId="756569E5">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default" w:cs="Times New Roman" w:asciiTheme="majorEastAsia" w:hAnsiTheme="majorEastAsia" w:eastAsiaTheme="majorEastAsia"/>
          <w:color w:val="000000" w:themeColor="text1"/>
          <w:kern w:val="0"/>
          <w:sz w:val="36"/>
          <w:szCs w:val="36"/>
          <w:lang w:val="zh-TW"/>
          <w14:textFill>
            <w14:solidFill>
              <w14:schemeClr w14:val="tx1"/>
            </w14:solidFill>
          </w14:textFill>
        </w:rPr>
      </w:pPr>
      <w:r>
        <w:rPr>
          <w:rFonts w:hint="default" w:cs="Times New Roman" w:asciiTheme="majorEastAsia" w:hAnsiTheme="majorEastAsia" w:eastAsiaTheme="majorEastAsia"/>
          <w:color w:val="000000" w:themeColor="text1"/>
          <w:kern w:val="0"/>
          <w:sz w:val="36"/>
          <w:szCs w:val="36"/>
          <w:lang w:val="zh-TW" w:eastAsia="zh-TW"/>
          <w14:textFill>
            <w14:solidFill>
              <w14:schemeClr w14:val="tx1"/>
            </w14:solidFill>
          </w14:textFill>
        </w:rPr>
        <w:t>二、主动公开信息情况</w:t>
      </w:r>
    </w:p>
    <w:p w14:paraId="4A0F50DA">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default" w:cs="Times New Roman" w:asciiTheme="majorEastAsia" w:hAnsiTheme="majorEastAsia" w:eastAsiaTheme="majorEastAsia"/>
          <w:color w:val="000000" w:themeColor="text1"/>
          <w:kern w:val="0"/>
          <w:sz w:val="36"/>
          <w:szCs w:val="36"/>
          <w:lang w:val="zh-TW" w:eastAsia="zh-TW"/>
          <w14:textFill>
            <w14:solidFill>
              <w14:schemeClr w14:val="tx1"/>
            </w14:solidFill>
          </w14:textFill>
        </w:rPr>
      </w:pPr>
      <w:r>
        <w:rPr>
          <w:rFonts w:ascii="楷体" w:hAnsi="楷体" w:eastAsia="楷体"/>
          <w:color w:val="000000" w:themeColor="text1"/>
          <w:sz w:val="36"/>
          <w:szCs w:val="36"/>
          <w:shd w:val="clear" w:color="auto" w:fill="FFFFFF"/>
          <w14:textFill>
            <w14:solidFill>
              <w14:schemeClr w14:val="tx1"/>
            </w14:solidFill>
          </w14:textFill>
        </w:rPr>
        <w:t>（一）主动公开信息的方式、途径和数量</w:t>
      </w:r>
    </w:p>
    <w:p w14:paraId="7928A9AA">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eastAsia="仿宋_GB2312"/>
          <w:color w:val="000000" w:themeColor="text1"/>
          <w:sz w:val="36"/>
          <w:szCs w:val="36"/>
          <w:lang w:val="zh-TW" w:eastAsia="zh-CN"/>
          <w14:textFill>
            <w14:solidFill>
              <w14:schemeClr w14:val="tx1"/>
            </w14:solidFill>
          </w14:textFill>
        </w:rPr>
      </w:pPr>
      <w:r>
        <w:rPr>
          <w:rFonts w:hint="eastAsia" w:eastAsia="仿宋_GB2312"/>
          <w:color w:val="000000" w:themeColor="text1"/>
          <w:sz w:val="36"/>
          <w:szCs w:val="36"/>
          <w:lang w:val="zh-TW" w:eastAsia="zh-CN"/>
          <w14:textFill>
            <w14:solidFill>
              <w14:schemeClr w14:val="tx1"/>
            </w14:solidFill>
          </w14:textFill>
        </w:rPr>
        <w:t>学院严格落实信息公开制度，积极拓展公开渠道。信息公开主要通过学院官方网站、微信公众号、企业微信等平台进行，同时依托</w:t>
      </w:r>
      <w:r>
        <w:rPr>
          <w:rFonts w:hint="eastAsia" w:eastAsia="仿宋_GB2312"/>
          <w:color w:val="000000" w:themeColor="text1"/>
          <w:sz w:val="36"/>
          <w:szCs w:val="36"/>
          <w:highlight w:val="none"/>
          <w:lang w:val="zh-TW" w:eastAsia="zh-CN"/>
          <w14:textFill>
            <w14:solidFill>
              <w14:schemeClr w14:val="tx1"/>
            </w14:solidFill>
          </w14:textFill>
        </w:rPr>
        <w:t>党委会、院长办公会</w:t>
      </w:r>
      <w:r>
        <w:rPr>
          <w:rFonts w:hint="eastAsia" w:eastAsia="仿宋_GB2312"/>
          <w:color w:val="000000" w:themeColor="text1"/>
          <w:sz w:val="36"/>
          <w:szCs w:val="36"/>
          <w:lang w:val="zh-TW" w:eastAsia="zh-CN"/>
          <w14:textFill>
            <w14:solidFill>
              <w14:schemeClr w14:val="tx1"/>
            </w14:solidFill>
          </w14:textFill>
        </w:rPr>
        <w:t>、教代会、民主日及全体教职工大会等形式公开，并以纸质文件、通知、公告栏等载体在全院或特定范围内发布信息，形成线上线下结合的公开机制。</w:t>
      </w:r>
    </w:p>
    <w:p w14:paraId="53C788B3">
      <w:pPr>
        <w:keepNext w:val="0"/>
        <w:keepLines w:val="0"/>
        <w:pageBreakBefore w:val="0"/>
        <w:kinsoku/>
        <w:wordWrap/>
        <w:overflowPunct/>
        <w:topLinePunct w:val="0"/>
        <w:autoSpaceDE/>
        <w:autoSpaceDN/>
        <w:bidi w:val="0"/>
        <w:adjustRightInd/>
        <w:snapToGrid/>
        <w:spacing w:line="560" w:lineRule="exact"/>
        <w:ind w:firstLine="645"/>
        <w:textAlignment w:val="auto"/>
        <w:rPr>
          <w:rFonts w:eastAsia="仿宋_GB2312"/>
          <w:color w:val="000000" w:themeColor="text1"/>
          <w:sz w:val="36"/>
          <w:szCs w:val="36"/>
          <w:lang w:val="zh-TW" w:eastAsia="zh-CN"/>
          <w14:textFill>
            <w14:solidFill>
              <w14:schemeClr w14:val="tx1"/>
            </w14:solidFill>
          </w14:textFill>
        </w:rPr>
      </w:pPr>
      <w:r>
        <w:rPr>
          <w:rFonts w:hint="eastAsia" w:eastAsia="仿宋_GB2312"/>
          <w:color w:val="000000" w:themeColor="text1"/>
          <w:sz w:val="36"/>
          <w:szCs w:val="36"/>
          <w:lang w:val="zh-TW" w:eastAsia="zh-CN"/>
          <w14:textFill>
            <w14:solidFill>
              <w14:schemeClr w14:val="tx1"/>
            </w14:solidFill>
          </w14:textFill>
        </w:rPr>
        <w:t>2024</w:t>
      </w:r>
      <w:r>
        <w:rPr>
          <w:rFonts w:hint="eastAsia" w:eastAsia="仿宋_GB2312"/>
          <w:color w:val="000000" w:themeColor="text1"/>
          <w:sz w:val="36"/>
          <w:szCs w:val="36"/>
          <w:lang w:val="en-US" w:eastAsia="zh-CN"/>
          <w14:textFill>
            <w14:solidFill>
              <w14:schemeClr w14:val="tx1"/>
            </w14:solidFill>
          </w14:textFill>
        </w:rPr>
        <w:t>至</w:t>
      </w:r>
      <w:r>
        <w:rPr>
          <w:rFonts w:hint="eastAsia" w:eastAsia="仿宋_GB2312"/>
          <w:color w:val="000000" w:themeColor="text1"/>
          <w:sz w:val="36"/>
          <w:szCs w:val="36"/>
          <w:lang w:val="zh-TW" w:eastAsia="zh-CN"/>
          <w14:textFill>
            <w14:solidFill>
              <w14:schemeClr w14:val="tx1"/>
            </w14:solidFill>
          </w14:textFill>
        </w:rPr>
        <w:t>2025学年度，学院通过官方网站公开党政工作、教育教学、人事管理、科研、招生就业及学生管理等信息125项；通过企业微信平台发布各类文件228份；通过微信公众号发布信息150项。信息公开内容</w:t>
      </w:r>
      <w:r>
        <w:rPr>
          <w:rFonts w:hint="eastAsia" w:eastAsia="仿宋_GB2312"/>
          <w:color w:val="000000" w:themeColor="text1"/>
          <w:sz w:val="36"/>
          <w:szCs w:val="36"/>
          <w:lang w:val="en-US" w:eastAsia="zh-CN"/>
          <w14:textFill>
            <w14:solidFill>
              <w14:schemeClr w14:val="tx1"/>
            </w14:solidFill>
          </w14:textFill>
        </w:rPr>
        <w:t>覆</w:t>
      </w:r>
      <w:r>
        <w:rPr>
          <w:rFonts w:hint="eastAsia" w:eastAsia="仿宋_GB2312"/>
          <w:color w:val="000000" w:themeColor="text1"/>
          <w:sz w:val="36"/>
          <w:szCs w:val="36"/>
          <w:lang w:val="zh-TW" w:eastAsia="zh-CN"/>
          <w14:textFill>
            <w14:solidFill>
              <w14:schemeClr w14:val="tx1"/>
            </w14:solidFill>
          </w14:textFill>
        </w:rPr>
        <w:t>盖面广、更新及时，有效保障了师生及社会公众的知情权、参与权和监督权。</w:t>
      </w:r>
    </w:p>
    <w:p w14:paraId="0131513F">
      <w:pPr>
        <w:keepNext w:val="0"/>
        <w:keepLines w:val="0"/>
        <w:pageBreakBefore w:val="0"/>
        <w:kinsoku/>
        <w:wordWrap/>
        <w:overflowPunct/>
        <w:topLinePunct w:val="0"/>
        <w:autoSpaceDE/>
        <w:autoSpaceDN/>
        <w:bidi w:val="0"/>
        <w:adjustRightInd/>
        <w:snapToGrid/>
        <w:spacing w:line="560" w:lineRule="exact"/>
        <w:ind w:firstLine="645"/>
        <w:textAlignment w:val="auto"/>
        <w:rPr>
          <w:rFonts w:eastAsia="仿宋_GB2312"/>
          <w:color w:val="000000" w:themeColor="text1"/>
          <w:sz w:val="36"/>
          <w:szCs w:val="36"/>
          <w:lang w:val="zh-TW" w:eastAsia="zh-CN"/>
          <w14:textFill>
            <w14:solidFill>
              <w14:schemeClr w14:val="tx1"/>
            </w14:solidFill>
          </w14:textFill>
        </w:rPr>
      </w:pPr>
      <w:r>
        <w:rPr>
          <w:rFonts w:hint="eastAsia" w:ascii="楷体" w:hAnsi="楷体" w:eastAsia="楷体" w:cs="Arial Unicode MS"/>
          <w:color w:val="000000" w:themeColor="text1"/>
          <w:kern w:val="2"/>
          <w:sz w:val="36"/>
          <w:szCs w:val="36"/>
          <w:u w:color="000000"/>
          <w:shd w:val="clear" w:color="auto" w:fill="FFFFFF"/>
          <w:lang w:eastAsia="zh-CN"/>
          <w14:textFill>
            <w14:solidFill>
              <w14:schemeClr w14:val="tx1"/>
            </w14:solidFill>
          </w14:textFill>
        </w:rPr>
        <w:t>（二）主动公开信息的主要内容</w:t>
      </w:r>
    </w:p>
    <w:p w14:paraId="36543818">
      <w:pPr>
        <w:keepNext w:val="0"/>
        <w:keepLines w:val="0"/>
        <w:pageBreakBefore w:val="0"/>
        <w:kinsoku/>
        <w:wordWrap/>
        <w:overflowPunct/>
        <w:topLinePunct w:val="0"/>
        <w:autoSpaceDE/>
        <w:autoSpaceDN/>
        <w:bidi w:val="0"/>
        <w:adjustRightInd/>
        <w:snapToGrid/>
        <w:spacing w:line="560" w:lineRule="exact"/>
        <w:ind w:firstLine="645"/>
        <w:textAlignment w:val="auto"/>
        <w:rPr>
          <w:rFonts w:eastAsia="仿宋_GB2312"/>
          <w:b/>
          <w:color w:val="000000" w:themeColor="text1"/>
          <w:sz w:val="36"/>
          <w:szCs w:val="36"/>
          <w:lang w:val="zh-TW" w:eastAsia="zh-CN"/>
          <w14:textFill>
            <w14:solidFill>
              <w14:schemeClr w14:val="tx1"/>
            </w14:solidFill>
          </w14:textFill>
        </w:rPr>
      </w:pPr>
      <w:r>
        <w:rPr>
          <w:rFonts w:hint="eastAsia" w:eastAsia="仿宋_GB2312"/>
          <w:b/>
          <w:color w:val="000000" w:themeColor="text1"/>
          <w:sz w:val="36"/>
          <w:szCs w:val="36"/>
          <w:lang w:val="en-US" w:eastAsia="zh-CN"/>
          <w14:textFill>
            <w14:solidFill>
              <w14:schemeClr w14:val="tx1"/>
            </w14:solidFill>
          </w14:textFill>
        </w:rPr>
        <w:t>1.</w:t>
      </w:r>
      <w:r>
        <w:rPr>
          <w:rFonts w:hint="eastAsia" w:eastAsia="仿宋_GB2312"/>
          <w:b/>
          <w:color w:val="000000" w:themeColor="text1"/>
          <w:sz w:val="36"/>
          <w:szCs w:val="36"/>
          <w:lang w:val="zh-TW" w:eastAsia="zh-CN"/>
          <w14:textFill>
            <w14:solidFill>
              <w14:schemeClr w14:val="tx1"/>
            </w14:solidFill>
          </w14:textFill>
        </w:rPr>
        <w:t>基本情况</w:t>
      </w:r>
    </w:p>
    <w:p w14:paraId="1E2F63D5">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eastAsia="仿宋_GB2312"/>
          <w:color w:val="000000" w:themeColor="text1"/>
          <w:sz w:val="36"/>
          <w:szCs w:val="36"/>
          <w:lang w:val="zh-TW" w:eastAsia="zh-CN"/>
          <w14:textFill>
            <w14:solidFill>
              <w14:schemeClr w14:val="tx1"/>
            </w14:solidFill>
          </w14:textFill>
        </w:rPr>
      </w:pPr>
      <w:r>
        <w:rPr>
          <w:rFonts w:hint="eastAsia" w:eastAsia="仿宋_GB2312"/>
          <w:color w:val="000000" w:themeColor="text1"/>
          <w:sz w:val="36"/>
          <w:szCs w:val="36"/>
          <w:lang w:val="zh-TW" w:eastAsia="zh-CN"/>
          <w14:textFill>
            <w14:solidFill>
              <w14:schemeClr w14:val="tx1"/>
            </w14:solidFill>
          </w14:textFill>
        </w:rPr>
        <w:t>学院通过门户网站公开基本办学信息，内容包括学院发展沿革、办学规模、在校生人数、师资队伍数量及职称结构等。</w:t>
      </w:r>
    </w:p>
    <w:p w14:paraId="35BD6686">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eastAsia="仿宋_GB2312"/>
          <w:b/>
          <w:bCs w:val="0"/>
          <w:color w:val="000000" w:themeColor="text1"/>
          <w:sz w:val="36"/>
          <w:szCs w:val="36"/>
          <w:lang w:val="zh-TW" w:eastAsia="zh-CN"/>
          <w14:textFill>
            <w14:solidFill>
              <w14:schemeClr w14:val="tx1"/>
            </w14:solidFill>
          </w14:textFill>
        </w:rPr>
      </w:pPr>
      <w:r>
        <w:rPr>
          <w:rFonts w:hint="eastAsia" w:eastAsia="仿宋_GB2312"/>
          <w:b/>
          <w:bCs w:val="0"/>
          <w:color w:val="000000" w:themeColor="text1"/>
          <w:sz w:val="36"/>
          <w:szCs w:val="36"/>
          <w:lang w:val="en-US" w:eastAsia="zh-CN"/>
          <w14:textFill>
            <w14:solidFill>
              <w14:schemeClr w14:val="tx1"/>
            </w14:solidFill>
          </w14:textFill>
        </w:rPr>
        <w:t>2.</w:t>
      </w:r>
      <w:r>
        <w:rPr>
          <w:rFonts w:hint="eastAsia" w:eastAsia="仿宋_GB2312"/>
          <w:b/>
          <w:bCs w:val="0"/>
          <w:color w:val="000000" w:themeColor="text1"/>
          <w:sz w:val="36"/>
          <w:szCs w:val="36"/>
          <w:lang w:val="zh-TW" w:eastAsia="zh-CN"/>
          <w14:textFill>
            <w14:solidFill>
              <w14:schemeClr w14:val="tx1"/>
            </w14:solidFill>
          </w14:textFill>
        </w:rPr>
        <w:t>党建与组织工作公开情况</w:t>
      </w:r>
    </w:p>
    <w:p w14:paraId="070787BB">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eastAsia="仿宋_GB2312"/>
          <w:color w:val="000000" w:themeColor="text1"/>
          <w:sz w:val="36"/>
          <w:szCs w:val="36"/>
          <w:lang w:val="zh-TW" w:eastAsia="zh-CN"/>
          <w14:textFill>
            <w14:solidFill>
              <w14:schemeClr w14:val="tx1"/>
            </w14:solidFill>
          </w14:textFill>
        </w:rPr>
      </w:pPr>
      <w:r>
        <w:rPr>
          <w:rFonts w:hint="eastAsia" w:eastAsia="仿宋_GB2312"/>
          <w:color w:val="000000" w:themeColor="text1"/>
          <w:sz w:val="36"/>
          <w:szCs w:val="36"/>
          <w:lang w:val="zh-TW" w:eastAsia="zh-CN"/>
          <w14:textFill>
            <w14:solidFill>
              <w14:schemeClr w14:val="tx1"/>
            </w14:solidFill>
          </w14:textFill>
        </w:rPr>
        <w:t>学院党委严格落实党建工作要求，持续推进党建与组织工作信息公开。</w:t>
      </w:r>
    </w:p>
    <w:p w14:paraId="5F40126C">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eastAsia="仿宋_GB2312"/>
          <w:color w:val="000000" w:themeColor="text1"/>
          <w:sz w:val="36"/>
          <w:szCs w:val="36"/>
          <w:lang w:val="zh-TW" w:eastAsia="zh-CN"/>
          <w14:textFill>
            <w14:solidFill>
              <w14:schemeClr w14:val="tx1"/>
            </w14:solidFill>
          </w14:textFill>
        </w:rPr>
      </w:pPr>
      <w:r>
        <w:rPr>
          <w:rFonts w:hint="eastAsia" w:eastAsia="仿宋_GB2312"/>
          <w:color w:val="000000" w:themeColor="text1"/>
          <w:sz w:val="36"/>
          <w:szCs w:val="36"/>
          <w:lang w:val="zh-TW" w:eastAsia="zh-CN"/>
          <w14:textFill>
            <w14:solidFill>
              <w14:schemeClr w14:val="tx1"/>
            </w14:solidFill>
          </w14:textFill>
        </w:rPr>
        <w:t>在推优入党工作方面，学院党委及各党支部严格按照程序，组织开展推荐优秀师生作为入党积极分子和发展对象人选工作，通过公示栏、支部会议及党委会等渠道，公开推优条件、程序及拟推荐名单，全年共公示教职工及学生推优入党名单1次，确保推荐过程公开透明、程序规范。</w:t>
      </w:r>
    </w:p>
    <w:p w14:paraId="11919636">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eastAsia="仿宋_GB2312"/>
          <w:color w:val="000000" w:themeColor="text1"/>
          <w:sz w:val="36"/>
          <w:szCs w:val="36"/>
          <w:lang w:val="zh-TW" w:eastAsia="zh-CN"/>
          <w14:textFill>
            <w14:solidFill>
              <w14:schemeClr w14:val="tx1"/>
            </w14:solidFill>
          </w14:textFill>
        </w:rPr>
      </w:pPr>
      <w:r>
        <w:rPr>
          <w:rFonts w:hint="eastAsia" w:eastAsia="仿宋_GB2312"/>
          <w:color w:val="000000" w:themeColor="text1"/>
          <w:sz w:val="36"/>
          <w:szCs w:val="36"/>
          <w:lang w:val="zh-TW" w:eastAsia="zh-CN"/>
          <w14:textFill>
            <w14:solidFill>
              <w14:schemeClr w14:val="tx1"/>
            </w14:solidFill>
          </w14:textFill>
        </w:rPr>
        <w:t>在干部任免方面，学院严格执行干部选拔任用工作条例，对中层干部任免、科级干部选拔任用等事项，均通过党委会研究决定，并在院内公示栏等渠道进行任前公示，全年共公示干部任免信息2次，每次公示期为5个工作日，切实保障教职工在干部选拔任用工作中的知情权、参与权和监督权。</w:t>
      </w:r>
    </w:p>
    <w:p w14:paraId="7923A67D">
      <w:pPr>
        <w:keepNext w:val="0"/>
        <w:keepLines w:val="0"/>
        <w:pageBreakBefore w:val="0"/>
        <w:kinsoku/>
        <w:wordWrap/>
        <w:overflowPunct/>
        <w:topLinePunct w:val="0"/>
        <w:autoSpaceDE/>
        <w:autoSpaceDN/>
        <w:bidi w:val="0"/>
        <w:adjustRightInd/>
        <w:snapToGrid/>
        <w:spacing w:line="560" w:lineRule="exact"/>
        <w:ind w:firstLine="645"/>
        <w:textAlignment w:val="auto"/>
        <w:rPr>
          <w:rFonts w:eastAsia="仿宋_GB2312"/>
          <w:b/>
          <w:color w:val="000000" w:themeColor="text1"/>
          <w:sz w:val="36"/>
          <w:szCs w:val="36"/>
          <w:lang w:val="zh-TW" w:eastAsia="zh-CN"/>
          <w14:textFill>
            <w14:solidFill>
              <w14:schemeClr w14:val="tx1"/>
            </w14:solidFill>
          </w14:textFill>
        </w:rPr>
      </w:pPr>
      <w:r>
        <w:rPr>
          <w:rFonts w:hint="eastAsia" w:eastAsia="仿宋_GB2312"/>
          <w:b/>
          <w:color w:val="000000" w:themeColor="text1"/>
          <w:sz w:val="36"/>
          <w:szCs w:val="36"/>
          <w:lang w:val="en-US" w:eastAsia="zh-CN"/>
          <w14:textFill>
            <w14:solidFill>
              <w14:schemeClr w14:val="tx1"/>
            </w14:solidFill>
          </w14:textFill>
        </w:rPr>
        <w:t>3.</w:t>
      </w:r>
      <w:r>
        <w:rPr>
          <w:rFonts w:hint="eastAsia" w:eastAsia="仿宋_GB2312"/>
          <w:b/>
          <w:color w:val="000000" w:themeColor="text1"/>
          <w:sz w:val="36"/>
          <w:szCs w:val="36"/>
          <w:lang w:val="zh-TW" w:eastAsia="zh-CN"/>
          <w14:textFill>
            <w14:solidFill>
              <w14:schemeClr w14:val="tx1"/>
            </w14:solidFill>
          </w14:textFill>
        </w:rPr>
        <w:t>招生、就业工作公开情况</w:t>
      </w:r>
    </w:p>
    <w:p w14:paraId="6F438E40">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eastAsia="仿宋_GB2312"/>
          <w:color w:val="000000" w:themeColor="text1"/>
          <w:sz w:val="36"/>
          <w:szCs w:val="36"/>
          <w:lang w:val="zh-TW" w:eastAsia="zh-CN"/>
          <w14:textFill>
            <w14:solidFill>
              <w14:schemeClr w14:val="tx1"/>
            </w14:solidFill>
          </w14:textFill>
        </w:rPr>
      </w:pPr>
      <w:r>
        <w:rPr>
          <w:rFonts w:hint="eastAsia" w:eastAsia="仿宋_GB2312"/>
          <w:color w:val="000000" w:themeColor="text1"/>
          <w:sz w:val="36"/>
          <w:szCs w:val="36"/>
          <w:lang w:val="zh-TW" w:eastAsia="zh-CN"/>
          <w14:textFill>
            <w14:solidFill>
              <w14:schemeClr w14:val="tx1"/>
            </w14:solidFill>
          </w14:textFill>
        </w:rPr>
        <w:t>学院招生就业处通过学院官网发布招生政策、招生简章、录取名单。分别公开《2025年高等职业教育自主招生章程》《2025年高招自主招生志愿征集方案》《2025年高考统招章程》《2025年高考统招报考指南》《2025年中招五年制自主招生工作方案》《2025年中招统招报考指南》，每份文件均在学院官网发布1次。学院微信公众号发布招生信息21条，实现信息公开全覆盖、及时可查。</w:t>
      </w:r>
    </w:p>
    <w:p w14:paraId="63FD7510">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eastAsia="仿宋_GB2312"/>
          <w:color w:val="000000" w:themeColor="text1"/>
          <w:sz w:val="36"/>
          <w:szCs w:val="36"/>
          <w:lang w:val="zh-TW" w:eastAsia="zh-CN"/>
          <w14:textFill>
            <w14:solidFill>
              <w14:schemeClr w14:val="tx1"/>
            </w14:solidFill>
          </w14:textFill>
        </w:rPr>
      </w:pPr>
    </w:p>
    <w:p w14:paraId="6AAF3BB3">
      <w:pPr>
        <w:keepNext w:val="0"/>
        <w:keepLines w:val="0"/>
        <w:pageBreakBefore w:val="0"/>
        <w:kinsoku/>
        <w:wordWrap/>
        <w:overflowPunct/>
        <w:topLinePunct w:val="0"/>
        <w:autoSpaceDE/>
        <w:autoSpaceDN/>
        <w:bidi w:val="0"/>
        <w:adjustRightInd/>
        <w:snapToGrid/>
        <w:spacing w:line="560" w:lineRule="exact"/>
        <w:ind w:firstLine="645"/>
        <w:textAlignment w:val="auto"/>
        <w:rPr>
          <w:rFonts w:eastAsia="仿宋_GB2312"/>
          <w:b/>
          <w:color w:val="000000" w:themeColor="text1"/>
          <w:sz w:val="36"/>
          <w:szCs w:val="36"/>
          <w:lang w:val="zh-TW" w:eastAsia="zh-CN"/>
          <w14:textFill>
            <w14:solidFill>
              <w14:schemeClr w14:val="tx1"/>
            </w14:solidFill>
          </w14:textFill>
        </w:rPr>
      </w:pPr>
      <w:r>
        <w:rPr>
          <w:rFonts w:hint="eastAsia" w:eastAsia="仿宋_GB2312"/>
          <w:b/>
          <w:color w:val="000000" w:themeColor="text1"/>
          <w:sz w:val="36"/>
          <w:szCs w:val="36"/>
          <w:lang w:val="en-US" w:eastAsia="zh-CN"/>
          <w14:textFill>
            <w14:solidFill>
              <w14:schemeClr w14:val="tx1"/>
            </w14:solidFill>
          </w14:textFill>
        </w:rPr>
        <w:t>4.</w:t>
      </w:r>
      <w:r>
        <w:rPr>
          <w:rFonts w:hint="eastAsia" w:eastAsia="仿宋_GB2312"/>
          <w:b/>
          <w:color w:val="000000" w:themeColor="text1"/>
          <w:sz w:val="36"/>
          <w:szCs w:val="36"/>
          <w:lang w:val="zh-TW" w:eastAsia="zh-CN"/>
          <w14:textFill>
            <w14:solidFill>
              <w14:schemeClr w14:val="tx1"/>
            </w14:solidFill>
          </w14:textFill>
        </w:rPr>
        <w:t>人事工作公开情况</w:t>
      </w:r>
    </w:p>
    <w:p w14:paraId="786D2423">
      <w:pPr>
        <w:keepNext w:val="0"/>
        <w:keepLines w:val="0"/>
        <w:pageBreakBefore w:val="0"/>
        <w:kinsoku/>
        <w:wordWrap/>
        <w:overflowPunct/>
        <w:topLinePunct w:val="0"/>
        <w:autoSpaceDE/>
        <w:autoSpaceDN/>
        <w:bidi w:val="0"/>
        <w:adjustRightInd/>
        <w:snapToGrid/>
        <w:spacing w:line="560" w:lineRule="exact"/>
        <w:ind w:firstLine="645"/>
        <w:textAlignment w:val="auto"/>
        <w:rPr>
          <w:rFonts w:eastAsia="仿宋_GB2312"/>
          <w:color w:val="000000" w:themeColor="text1"/>
          <w:sz w:val="36"/>
          <w:szCs w:val="36"/>
          <w:lang w:val="zh-TW" w:eastAsia="zh-CN"/>
          <w14:textFill>
            <w14:solidFill>
              <w14:schemeClr w14:val="tx1"/>
            </w14:solidFill>
          </w14:textFill>
        </w:rPr>
      </w:pPr>
      <w:r>
        <w:rPr>
          <w:rFonts w:hint="eastAsia" w:eastAsia="仿宋_GB2312"/>
          <w:color w:val="000000" w:themeColor="text1"/>
          <w:sz w:val="36"/>
          <w:szCs w:val="36"/>
          <w:highlight w:val="none"/>
          <w:lang w:val="zh-TW" w:eastAsia="zh-CN"/>
          <w14:textFill>
            <w14:solidFill>
              <w14:schemeClr w14:val="tx1"/>
            </w14:solidFill>
          </w14:textFill>
        </w:rPr>
        <w:t>学院通过召开党委会、院长办公会</w:t>
      </w:r>
      <w:r>
        <w:rPr>
          <w:rFonts w:hint="eastAsia" w:eastAsia="仿宋_GB2312"/>
          <w:color w:val="000000" w:themeColor="text1"/>
          <w:sz w:val="36"/>
          <w:szCs w:val="36"/>
          <w:lang w:val="zh-TW" w:eastAsia="zh-CN"/>
          <w14:textFill>
            <w14:solidFill>
              <w14:schemeClr w14:val="tx1"/>
            </w14:solidFill>
          </w14:textFill>
        </w:rPr>
        <w:t>、专题会议等形式，利用北京市人力资源和社会保障局网站、北京市怀柔区人民政府网站、学院公告栏、微信平台等途径，面向社会和全院教职工公示人才引进、教师资格申报、推优评优、职称评聘、岗位晋级、岗位聘任、困难补助等信息。公示公开招聘教师公告1次，公开招聘教师结果1次；公示教师资格申报情况2次；公示年度考核结果1次，考核奖励结果1次；公示申报高校教师系列专业技术职务情况1次，聘任委员会审议结果1次，聘任专业技术职务结果2次；公示岗位晋级结果1次；公示教职工岗位聘任结果1次；公示困难补助情况1次。</w:t>
      </w:r>
    </w:p>
    <w:p w14:paraId="78C835BB">
      <w:pPr>
        <w:pStyle w:val="11"/>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default" w:ascii="Times New Roman" w:hAnsi="Times New Roman" w:eastAsia="仿宋_GB2312" w:cs="Times New Roman"/>
          <w:b/>
          <w:color w:val="000000" w:themeColor="text1"/>
          <w:kern w:val="0"/>
          <w:sz w:val="36"/>
          <w:szCs w:val="36"/>
          <w:lang w:val="zh-TW"/>
          <w14:textFill>
            <w14:solidFill>
              <w14:schemeClr w14:val="tx1"/>
            </w14:solidFill>
          </w14:textFill>
        </w:rPr>
      </w:pPr>
      <w:r>
        <w:rPr>
          <w:rFonts w:hint="eastAsia" w:ascii="Times New Roman" w:hAnsi="Times New Roman" w:eastAsia="仿宋_GB2312" w:cs="Times New Roman"/>
          <w:b/>
          <w:color w:val="000000" w:themeColor="text1"/>
          <w:kern w:val="0"/>
          <w:sz w:val="36"/>
          <w:szCs w:val="36"/>
          <w:lang w:val="en-US" w:eastAsia="zh-CN"/>
          <w14:textFill>
            <w14:solidFill>
              <w14:schemeClr w14:val="tx1"/>
            </w14:solidFill>
          </w14:textFill>
        </w:rPr>
        <w:t>5.</w:t>
      </w:r>
      <w:r>
        <w:rPr>
          <w:rFonts w:hint="default" w:ascii="Times New Roman" w:hAnsi="Times New Roman" w:eastAsia="仿宋_GB2312" w:cs="Times New Roman"/>
          <w:b/>
          <w:color w:val="000000" w:themeColor="text1"/>
          <w:kern w:val="0"/>
          <w:sz w:val="36"/>
          <w:szCs w:val="36"/>
          <w:lang w:val="zh-TW"/>
          <w14:textFill>
            <w14:solidFill>
              <w14:schemeClr w14:val="tx1"/>
            </w14:solidFill>
          </w14:textFill>
        </w:rPr>
        <w:t>教学、科研工作</w:t>
      </w:r>
      <w:r>
        <w:rPr>
          <w:rFonts w:ascii="Times New Roman" w:hAnsi="Times New Roman" w:eastAsia="仿宋_GB2312" w:cs="Times New Roman"/>
          <w:b/>
          <w:color w:val="000000" w:themeColor="text1"/>
          <w:kern w:val="0"/>
          <w:sz w:val="36"/>
          <w:szCs w:val="36"/>
          <w:lang w:val="zh-TW"/>
          <w14:textFill>
            <w14:solidFill>
              <w14:schemeClr w14:val="tx1"/>
            </w14:solidFill>
          </w14:textFill>
        </w:rPr>
        <w:t>公开情况</w:t>
      </w:r>
    </w:p>
    <w:p w14:paraId="75671DF2">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000000" w:themeColor="text1"/>
          <w:kern w:val="0"/>
          <w:sz w:val="36"/>
          <w:szCs w:val="36"/>
          <w:lang w:val="zh-TW"/>
          <w14:textFill>
            <w14:solidFill>
              <w14:schemeClr w14:val="tx1"/>
            </w14:solidFill>
          </w14:textFill>
        </w:rPr>
      </w:pPr>
      <w:r>
        <w:rPr>
          <w:rFonts w:hint="eastAsia" w:ascii="Times New Roman" w:hAnsi="Times New Roman" w:eastAsia="仿宋_GB2312" w:cs="Times New Roman"/>
          <w:color w:val="000000" w:themeColor="text1"/>
          <w:kern w:val="0"/>
          <w:sz w:val="36"/>
          <w:szCs w:val="36"/>
          <w:lang w:val="zh-TW"/>
          <w14:textFill>
            <w14:solidFill>
              <w14:schemeClr w14:val="tx1"/>
            </w14:solidFill>
          </w14:textFill>
        </w:rPr>
        <w:t>学院在教学与科研信息公开方面持续推进规范化工作。一是教学信息公开方面，在</w:t>
      </w:r>
      <w:r>
        <w:rPr>
          <w:rFonts w:hint="eastAsia" w:ascii="Times New Roman" w:hAnsi="Times New Roman" w:eastAsia="仿宋_GB2312" w:cs="Times New Roman"/>
          <w:color w:val="000000" w:themeColor="text1"/>
          <w:kern w:val="0"/>
          <w:sz w:val="36"/>
          <w:szCs w:val="36"/>
          <w:highlight w:val="none"/>
          <w:lang w:val="zh-TW" w:eastAsia="zh-CN"/>
          <w14:textFill>
            <w14:solidFill>
              <w14:schemeClr w14:val="tx1"/>
            </w14:solidFill>
          </w14:textFill>
        </w:rPr>
        <w:t>学院官网</w:t>
      </w:r>
      <w:r>
        <w:rPr>
          <w:rFonts w:hint="eastAsia" w:ascii="Times New Roman" w:hAnsi="Times New Roman" w:eastAsia="仿宋_GB2312" w:cs="Times New Roman"/>
          <w:color w:val="000000" w:themeColor="text1"/>
          <w:kern w:val="0"/>
          <w:sz w:val="36"/>
          <w:szCs w:val="36"/>
          <w:lang w:val="zh-TW"/>
          <w14:textFill>
            <w14:solidFill>
              <w14:schemeClr w14:val="tx1"/>
            </w14:solidFill>
          </w14:textFill>
        </w:rPr>
        <w:t>公示学生适应社会能力评估自评报告</w:t>
      </w:r>
      <w:r>
        <w:rPr>
          <w:rFonts w:hint="eastAsia" w:ascii="Times New Roman" w:hAnsi="Times New Roman" w:eastAsia="仿宋_GB2312" w:cs="Times New Roman"/>
          <w:color w:val="000000" w:themeColor="text1"/>
          <w:kern w:val="0"/>
          <w:sz w:val="36"/>
          <w:szCs w:val="36"/>
          <w:lang w:val="en-US" w:eastAsia="zh-CN"/>
          <w14:textFill>
            <w14:solidFill>
              <w14:schemeClr w14:val="tx1"/>
            </w14:solidFill>
          </w14:textFill>
        </w:rPr>
        <w:t>1次</w:t>
      </w:r>
      <w:r>
        <w:rPr>
          <w:rFonts w:hint="eastAsia" w:ascii="Times New Roman" w:hAnsi="Times New Roman" w:eastAsia="仿宋_GB2312" w:cs="Times New Roman"/>
          <w:color w:val="000000" w:themeColor="text1"/>
          <w:kern w:val="0"/>
          <w:sz w:val="36"/>
          <w:szCs w:val="36"/>
          <w:lang w:val="zh-TW"/>
          <w14:textFill>
            <w14:solidFill>
              <w14:schemeClr w14:val="tx1"/>
            </w14:solidFill>
          </w14:textFill>
        </w:rPr>
        <w:t>，</w:t>
      </w:r>
      <w:r>
        <w:rPr>
          <w:rFonts w:hint="eastAsia" w:ascii="Times New Roman" w:hAnsi="Times New Roman" w:eastAsia="仿宋_GB2312" w:cs="Times New Roman"/>
          <w:color w:val="000000" w:themeColor="text1"/>
          <w:kern w:val="0"/>
          <w:sz w:val="36"/>
          <w:szCs w:val="36"/>
          <w:lang w:val="zh-TW" w:eastAsia="zh-CN"/>
          <w14:textFill>
            <w14:solidFill>
              <w14:schemeClr w14:val="tx1"/>
            </w14:solidFill>
          </w14:textFill>
        </w:rPr>
        <w:t>公开专升本推荐名单</w:t>
      </w:r>
      <w:r>
        <w:rPr>
          <w:rFonts w:hint="eastAsia" w:ascii="Times New Roman" w:hAnsi="Times New Roman" w:eastAsia="仿宋_GB2312" w:cs="Times New Roman"/>
          <w:color w:val="000000" w:themeColor="text1"/>
          <w:kern w:val="0"/>
          <w:sz w:val="36"/>
          <w:szCs w:val="36"/>
          <w:lang w:val="en-US" w:eastAsia="zh-CN"/>
          <w14:textFill>
            <w14:solidFill>
              <w14:schemeClr w14:val="tx1"/>
            </w14:solidFill>
          </w14:textFill>
        </w:rPr>
        <w:t>1次，</w:t>
      </w:r>
      <w:r>
        <w:rPr>
          <w:rFonts w:hint="eastAsia" w:ascii="Times New Roman" w:hAnsi="Times New Roman" w:eastAsia="仿宋_GB2312" w:cs="Times New Roman"/>
          <w:color w:val="000000" w:themeColor="text1"/>
          <w:kern w:val="0"/>
          <w:sz w:val="36"/>
          <w:szCs w:val="36"/>
          <w:lang w:val="zh-TW"/>
          <w14:textFill>
            <w14:solidFill>
              <w14:schemeClr w14:val="tx1"/>
            </w14:solidFill>
          </w14:textFill>
        </w:rPr>
        <w:t>提升教学管理的透明度。学院官网公开专业建设及课程设置情况，公开《学院质量年度报告（2024年度）》，企业微信平台发布教学督导工作简报</w:t>
      </w:r>
      <w:r>
        <w:rPr>
          <w:rFonts w:hint="eastAsia" w:ascii="Times New Roman" w:hAnsi="Times New Roman" w:eastAsia="仿宋_GB2312" w:cs="Times New Roman"/>
          <w:color w:val="000000" w:themeColor="text1"/>
          <w:kern w:val="0"/>
          <w:sz w:val="36"/>
          <w:szCs w:val="36"/>
          <w:highlight w:val="none"/>
          <w:lang w:val="zh-TW"/>
          <w14:textFill>
            <w14:solidFill>
              <w14:schemeClr w14:val="tx1"/>
            </w14:solidFill>
          </w14:textFill>
        </w:rPr>
        <w:t>2期</w:t>
      </w:r>
      <w:r>
        <w:rPr>
          <w:rFonts w:hint="eastAsia" w:ascii="Times New Roman" w:hAnsi="Times New Roman" w:eastAsia="仿宋_GB2312" w:cs="Times New Roman"/>
          <w:color w:val="000000" w:themeColor="text1"/>
          <w:kern w:val="0"/>
          <w:sz w:val="36"/>
          <w:szCs w:val="36"/>
          <w:lang w:val="zh-TW"/>
          <w14:textFill>
            <w14:solidFill>
              <w14:schemeClr w14:val="tx1"/>
            </w14:solidFill>
          </w14:textFill>
        </w:rPr>
        <w:t>，实现教学信息多渠道公开。</w:t>
      </w:r>
    </w:p>
    <w:p w14:paraId="6D83B260">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color w:val="000000" w:themeColor="text1"/>
          <w:kern w:val="0"/>
          <w:sz w:val="36"/>
          <w:szCs w:val="36"/>
          <w:lang w:val="zh-TW"/>
          <w14:textFill>
            <w14:solidFill>
              <w14:schemeClr w14:val="tx1"/>
            </w14:solidFill>
          </w14:textFill>
        </w:rPr>
      </w:pPr>
      <w:r>
        <w:rPr>
          <w:rFonts w:hint="eastAsia" w:ascii="Times New Roman" w:hAnsi="Times New Roman" w:eastAsia="仿宋_GB2312" w:cs="Times New Roman"/>
          <w:color w:val="000000" w:themeColor="text1"/>
          <w:kern w:val="0"/>
          <w:sz w:val="36"/>
          <w:szCs w:val="36"/>
          <w:lang w:val="zh-TW"/>
          <w14:textFill>
            <w14:solidFill>
              <w14:schemeClr w14:val="tx1"/>
            </w14:solidFill>
          </w14:textFill>
        </w:rPr>
        <w:t>二是科研信息公开方面，学院在全院范围内组织大学生创新科研项目，并通过微信平台进行相关信息发布；统筹教师院级课题的立项与结题工作，相关结果在学院公示栏公示；开展“十四五”职业教育国家规划教材推荐工作，公开推荐名单；组织《2025年度北京市数字教育研究课题》申报，公示推荐结果，并按规定推进后续工作流程。</w:t>
      </w:r>
    </w:p>
    <w:p w14:paraId="6732F026">
      <w:pPr>
        <w:pStyle w:val="11"/>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default" w:ascii="Times New Roman" w:hAnsi="Times New Roman" w:eastAsia="仿宋_GB2312" w:cs="Times New Roman"/>
          <w:b/>
          <w:color w:val="000000" w:themeColor="text1"/>
          <w:kern w:val="0"/>
          <w:sz w:val="36"/>
          <w:szCs w:val="36"/>
          <w:lang w:val="zh-TW"/>
          <w14:textFill>
            <w14:solidFill>
              <w14:schemeClr w14:val="tx1"/>
            </w14:solidFill>
          </w14:textFill>
        </w:rPr>
      </w:pPr>
      <w:r>
        <w:rPr>
          <w:rFonts w:hint="eastAsia" w:ascii="Times New Roman" w:hAnsi="Times New Roman" w:eastAsia="仿宋_GB2312" w:cs="Times New Roman"/>
          <w:b/>
          <w:color w:val="000000" w:themeColor="text1"/>
          <w:kern w:val="0"/>
          <w:sz w:val="36"/>
          <w:szCs w:val="36"/>
          <w:lang w:val="en-US" w:eastAsia="zh-CN"/>
          <w14:textFill>
            <w14:solidFill>
              <w14:schemeClr w14:val="tx1"/>
            </w14:solidFill>
          </w14:textFill>
        </w:rPr>
        <w:t>6.</w:t>
      </w:r>
      <w:r>
        <w:rPr>
          <w:rFonts w:hint="default" w:ascii="Times New Roman" w:hAnsi="Times New Roman" w:eastAsia="仿宋_GB2312" w:cs="Times New Roman"/>
          <w:b/>
          <w:color w:val="000000" w:themeColor="text1"/>
          <w:kern w:val="0"/>
          <w:sz w:val="36"/>
          <w:szCs w:val="36"/>
          <w:lang w:val="zh-TW"/>
          <w14:textFill>
            <w14:solidFill>
              <w14:schemeClr w14:val="tx1"/>
            </w14:solidFill>
          </w14:textFill>
        </w:rPr>
        <w:t>学生管理工作</w:t>
      </w:r>
      <w:r>
        <w:rPr>
          <w:rFonts w:ascii="Times New Roman" w:hAnsi="Times New Roman" w:eastAsia="仿宋_GB2312" w:cs="Times New Roman"/>
          <w:b/>
          <w:color w:val="000000" w:themeColor="text1"/>
          <w:kern w:val="0"/>
          <w:sz w:val="36"/>
          <w:szCs w:val="36"/>
          <w:lang w:val="zh-TW"/>
          <w14:textFill>
            <w14:solidFill>
              <w14:schemeClr w14:val="tx1"/>
            </w14:solidFill>
          </w14:textFill>
        </w:rPr>
        <w:t>公开情况</w:t>
      </w:r>
    </w:p>
    <w:p w14:paraId="3473E079">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000000" w:themeColor="text1"/>
          <w:kern w:val="0"/>
          <w:sz w:val="36"/>
          <w:szCs w:val="36"/>
          <w:lang w:val="zh-TW"/>
          <w14:textFill>
            <w14:solidFill>
              <w14:schemeClr w14:val="tx1"/>
            </w14:solidFill>
          </w14:textFill>
        </w:rPr>
      </w:pPr>
      <w:r>
        <w:rPr>
          <w:rFonts w:hint="eastAsia" w:ascii="Times New Roman" w:hAnsi="Times New Roman" w:eastAsia="仿宋_GB2312" w:cs="Times New Roman"/>
          <w:color w:val="000000" w:themeColor="text1"/>
          <w:kern w:val="0"/>
          <w:sz w:val="36"/>
          <w:szCs w:val="36"/>
          <w:lang w:val="zh-TW"/>
          <w14:textFill>
            <w14:solidFill>
              <w14:schemeClr w14:val="tx1"/>
            </w14:solidFill>
          </w14:textFill>
        </w:rPr>
        <w:t>学院在学生管理信息公开方面坚持多渠道、全覆盖、规范化原则。通过学院官方微信公众号、学生处</w:t>
      </w:r>
      <w:r>
        <w:rPr>
          <w:rFonts w:hint="eastAsia" w:ascii="Times New Roman" w:hAnsi="Times New Roman" w:eastAsia="仿宋_GB2312" w:cs="Times New Roman"/>
          <w:color w:val="000000" w:themeColor="text1"/>
          <w:kern w:val="0"/>
          <w:sz w:val="36"/>
          <w:szCs w:val="36"/>
          <w:lang w:val="zh-TW" w:eastAsia="zh-CN"/>
          <w14:textFill>
            <w14:solidFill>
              <w14:schemeClr w14:val="tx1"/>
            </w14:solidFill>
          </w14:textFill>
        </w:rPr>
        <w:t>“</w:t>
      </w:r>
      <w:r>
        <w:rPr>
          <w:rFonts w:hint="eastAsia" w:ascii="Times New Roman" w:hAnsi="Times New Roman" w:eastAsia="仿宋_GB2312" w:cs="Times New Roman"/>
          <w:color w:val="000000" w:themeColor="text1"/>
          <w:kern w:val="0"/>
          <w:sz w:val="36"/>
          <w:szCs w:val="36"/>
          <w:lang w:val="zh-TW"/>
          <w14:textFill>
            <w14:solidFill>
              <w14:schemeClr w14:val="tx1"/>
            </w14:solidFill>
          </w14:textFill>
        </w:rPr>
        <w:t>京北学工</w:t>
      </w:r>
      <w:r>
        <w:rPr>
          <w:rFonts w:hint="eastAsia" w:ascii="Times New Roman" w:hAnsi="Times New Roman" w:eastAsia="仿宋_GB2312" w:cs="Times New Roman"/>
          <w:color w:val="000000" w:themeColor="text1"/>
          <w:kern w:val="0"/>
          <w:sz w:val="36"/>
          <w:szCs w:val="36"/>
          <w:lang w:val="zh-TW" w:eastAsia="zh-CN"/>
          <w14:textFill>
            <w14:solidFill>
              <w14:schemeClr w14:val="tx1"/>
            </w14:solidFill>
          </w14:textFill>
        </w:rPr>
        <w:t>”</w:t>
      </w:r>
      <w:r>
        <w:rPr>
          <w:rFonts w:hint="eastAsia" w:ascii="Times New Roman" w:hAnsi="Times New Roman" w:eastAsia="仿宋_GB2312" w:cs="Times New Roman"/>
          <w:color w:val="000000" w:themeColor="text1"/>
          <w:kern w:val="0"/>
          <w:sz w:val="36"/>
          <w:szCs w:val="36"/>
          <w:lang w:val="zh-TW"/>
          <w14:textFill>
            <w14:solidFill>
              <w14:schemeClr w14:val="tx1"/>
            </w14:solidFill>
          </w14:textFill>
        </w:rPr>
        <w:t>公众号、《学生手册》、公示栏</w:t>
      </w:r>
      <w:r>
        <w:rPr>
          <w:rFonts w:hint="eastAsia" w:ascii="Times New Roman" w:hAnsi="Times New Roman" w:eastAsia="仿宋_GB2312" w:cs="Times New Roman"/>
          <w:color w:val="000000" w:themeColor="text1"/>
          <w:kern w:val="0"/>
          <w:sz w:val="36"/>
          <w:szCs w:val="36"/>
          <w:lang w:val="zh-TW" w:eastAsia="zh-CN"/>
          <w14:textFill>
            <w14:solidFill>
              <w14:schemeClr w14:val="tx1"/>
            </w14:solidFill>
          </w14:textFill>
        </w:rPr>
        <w:t>等</w:t>
      </w:r>
      <w:r>
        <w:rPr>
          <w:rFonts w:hint="eastAsia" w:ascii="Times New Roman" w:hAnsi="Times New Roman" w:eastAsia="仿宋_GB2312" w:cs="Times New Roman"/>
          <w:color w:val="000000" w:themeColor="text1"/>
          <w:kern w:val="0"/>
          <w:sz w:val="36"/>
          <w:szCs w:val="36"/>
          <w:lang w:val="zh-TW"/>
          <w14:textFill>
            <w14:solidFill>
              <w14:schemeClr w14:val="tx1"/>
            </w14:solidFill>
          </w14:textFill>
        </w:rPr>
        <w:t>渠道，公开公示先进班集体、优秀学生干部、三好学生评选标准及获奖名单；国家奖学金、助学金申请条件、评审流程及惠及学生人数和发放结果；学籍管理、学生违纪处罚、校园安保、志愿者招募、饮食服务、宿舍管理等详细管理规范；学生思想政治建设相关</w:t>
      </w:r>
      <w:r>
        <w:rPr>
          <w:rFonts w:hint="eastAsia" w:ascii="Times New Roman" w:hAnsi="Times New Roman" w:eastAsia="仿宋_GB2312" w:cs="Times New Roman"/>
          <w:color w:val="000000" w:themeColor="text1"/>
          <w:kern w:val="0"/>
          <w:sz w:val="36"/>
          <w:szCs w:val="36"/>
          <w:lang w:val="zh-TW" w:eastAsia="zh-CN"/>
          <w14:textFill>
            <w14:solidFill>
              <w14:schemeClr w14:val="tx1"/>
            </w14:solidFill>
          </w14:textFill>
        </w:rPr>
        <w:t>工作</w:t>
      </w:r>
      <w:r>
        <w:rPr>
          <w:rFonts w:hint="eastAsia" w:ascii="Times New Roman" w:hAnsi="Times New Roman" w:eastAsia="仿宋_GB2312" w:cs="Times New Roman"/>
          <w:color w:val="000000" w:themeColor="text1"/>
          <w:kern w:val="0"/>
          <w:sz w:val="36"/>
          <w:szCs w:val="36"/>
          <w:lang w:val="zh-TW"/>
          <w14:textFill>
            <w14:solidFill>
              <w14:schemeClr w14:val="tx1"/>
            </w14:solidFill>
          </w14:textFill>
        </w:rPr>
        <w:t>，实现信息公开全面覆盖、可查可追溯。</w:t>
      </w:r>
    </w:p>
    <w:p w14:paraId="4538DE6B">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000000" w:themeColor="text1"/>
          <w:kern w:val="0"/>
          <w:sz w:val="36"/>
          <w:szCs w:val="36"/>
          <w:lang w:val="zh-TW" w:eastAsia="zh-CN"/>
          <w14:textFill>
            <w14:solidFill>
              <w14:schemeClr w14:val="tx1"/>
            </w14:solidFill>
          </w14:textFill>
        </w:rPr>
      </w:pPr>
      <w:r>
        <w:rPr>
          <w:rFonts w:hint="eastAsia" w:ascii="Times New Roman" w:hAnsi="Times New Roman" w:eastAsia="仿宋_GB2312" w:cs="Times New Roman"/>
          <w:color w:val="000000" w:themeColor="text1"/>
          <w:kern w:val="0"/>
          <w:sz w:val="36"/>
          <w:szCs w:val="36"/>
          <w:lang w:val="zh-TW"/>
          <w14:textFill>
            <w14:solidFill>
              <w14:schemeClr w14:val="tx1"/>
            </w14:solidFill>
          </w14:textFill>
        </w:rPr>
        <w:t>各类信息每学</w:t>
      </w:r>
      <w:r>
        <w:rPr>
          <w:rFonts w:hint="eastAsia" w:ascii="Times New Roman" w:hAnsi="Times New Roman" w:eastAsia="仿宋_GB2312" w:cs="Times New Roman"/>
          <w:color w:val="000000" w:themeColor="text1"/>
          <w:kern w:val="0"/>
          <w:sz w:val="36"/>
          <w:szCs w:val="36"/>
          <w:lang w:val="zh-TW" w:eastAsia="zh-CN"/>
          <w14:textFill>
            <w14:solidFill>
              <w14:schemeClr w14:val="tx1"/>
            </w14:solidFill>
          </w14:textFill>
        </w:rPr>
        <w:t>年</w:t>
      </w:r>
      <w:r>
        <w:rPr>
          <w:rFonts w:hint="eastAsia" w:ascii="Times New Roman" w:hAnsi="Times New Roman" w:eastAsia="仿宋_GB2312" w:cs="Times New Roman"/>
          <w:color w:val="000000" w:themeColor="text1"/>
          <w:kern w:val="0"/>
          <w:sz w:val="36"/>
          <w:szCs w:val="36"/>
          <w:lang w:val="zh-TW"/>
          <w14:textFill>
            <w14:solidFill>
              <w14:schemeClr w14:val="tx1"/>
            </w14:solidFill>
          </w14:textFill>
        </w:rPr>
        <w:t>集中公示</w:t>
      </w:r>
      <w:r>
        <w:rPr>
          <w:rFonts w:hint="eastAsia" w:ascii="Times New Roman" w:hAnsi="Times New Roman" w:eastAsia="仿宋_GB2312" w:cs="Times New Roman"/>
          <w:color w:val="000000" w:themeColor="text1"/>
          <w:kern w:val="0"/>
          <w:sz w:val="36"/>
          <w:szCs w:val="36"/>
          <w:lang w:val="en-US" w:eastAsia="zh-CN"/>
          <w14:textFill>
            <w14:solidFill>
              <w14:schemeClr w14:val="tx1"/>
            </w14:solidFill>
          </w14:textFill>
        </w:rPr>
        <w:t>2</w:t>
      </w:r>
      <w:r>
        <w:rPr>
          <w:rFonts w:hint="eastAsia" w:ascii="Times New Roman" w:hAnsi="Times New Roman" w:eastAsia="仿宋_GB2312" w:cs="Times New Roman"/>
          <w:color w:val="000000" w:themeColor="text1"/>
          <w:kern w:val="0"/>
          <w:sz w:val="36"/>
          <w:szCs w:val="36"/>
          <w:lang w:val="zh-TW"/>
          <w14:textFill>
            <w14:solidFill>
              <w14:schemeClr w14:val="tx1"/>
            </w14:solidFill>
          </w14:textFill>
        </w:rPr>
        <w:t>次，分别于12月中旬和6月中旬；其中，荣誉评选及奖助学金发放相关信息在活动开始前召开政策解读会，评选结束后公示5个工作日；各类管理办法类信息长期公示并实时更新。公示方式采用“线上+线下”结合，线上发布完整文档（含附件表格）供下载查阅，线下张贴纸质公告，同时公布异议反馈电话，3个工作日内核查回应，确保公示信息真实、透明</w:t>
      </w:r>
      <w:r>
        <w:rPr>
          <w:rFonts w:hint="eastAsia" w:ascii="Times New Roman" w:hAnsi="Times New Roman" w:eastAsia="仿宋_GB2312" w:cs="Times New Roman"/>
          <w:color w:val="000000" w:themeColor="text1"/>
          <w:kern w:val="0"/>
          <w:sz w:val="36"/>
          <w:szCs w:val="36"/>
          <w:lang w:val="zh-TW" w:eastAsia="zh-CN"/>
          <w14:textFill>
            <w14:solidFill>
              <w14:schemeClr w14:val="tx1"/>
            </w14:solidFill>
          </w14:textFill>
        </w:rPr>
        <w:t>。</w:t>
      </w:r>
    </w:p>
    <w:p w14:paraId="36D7E99F">
      <w:pPr>
        <w:pStyle w:val="11"/>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default" w:ascii="Times New Roman" w:hAnsi="Times New Roman" w:eastAsia="仿宋_GB2312" w:cs="Times New Roman"/>
          <w:b/>
          <w:color w:val="000000" w:themeColor="text1"/>
          <w:kern w:val="0"/>
          <w:sz w:val="36"/>
          <w:szCs w:val="36"/>
          <w:lang w:val="zh-TW"/>
          <w14:textFill>
            <w14:solidFill>
              <w14:schemeClr w14:val="tx1"/>
            </w14:solidFill>
          </w14:textFill>
        </w:rPr>
      </w:pPr>
      <w:r>
        <w:rPr>
          <w:rFonts w:hint="eastAsia" w:ascii="Times New Roman" w:hAnsi="Times New Roman" w:eastAsia="仿宋_GB2312" w:cs="Times New Roman"/>
          <w:b/>
          <w:color w:val="000000" w:themeColor="text1"/>
          <w:kern w:val="0"/>
          <w:sz w:val="36"/>
          <w:szCs w:val="36"/>
          <w:lang w:val="en-US" w:eastAsia="zh-CN"/>
          <w14:textFill>
            <w14:solidFill>
              <w14:schemeClr w14:val="tx1"/>
            </w14:solidFill>
          </w14:textFill>
        </w:rPr>
        <w:t>7.</w:t>
      </w:r>
      <w:r>
        <w:rPr>
          <w:rFonts w:hint="default" w:ascii="Times New Roman" w:hAnsi="Times New Roman" w:eastAsia="仿宋_GB2312" w:cs="Times New Roman"/>
          <w:b/>
          <w:color w:val="000000" w:themeColor="text1"/>
          <w:kern w:val="0"/>
          <w:sz w:val="36"/>
          <w:szCs w:val="36"/>
          <w:lang w:val="zh-TW"/>
          <w14:textFill>
            <w14:solidFill>
              <w14:schemeClr w14:val="tx1"/>
            </w14:solidFill>
          </w14:textFill>
        </w:rPr>
        <w:t>财务管理工</w:t>
      </w:r>
      <w:r>
        <w:rPr>
          <w:rFonts w:ascii="Times New Roman" w:hAnsi="Times New Roman" w:eastAsia="仿宋_GB2312" w:cs="Times New Roman"/>
          <w:b/>
          <w:color w:val="000000" w:themeColor="text1"/>
          <w:kern w:val="0"/>
          <w:sz w:val="36"/>
          <w:szCs w:val="36"/>
          <w:lang w:val="zh-TW"/>
          <w14:textFill>
            <w14:solidFill>
              <w14:schemeClr w14:val="tx1"/>
            </w14:solidFill>
          </w14:textFill>
        </w:rPr>
        <w:t>作公开情况</w:t>
      </w:r>
    </w:p>
    <w:p w14:paraId="3491F211">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pPr>
      <w:r>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t>学院在财务管理信息公开方面严格落实公开制度，确保财务信息规范、透明、可查可追溯。一是收费信息公开方面，新生收费项目、收费标准及收费依据通过学院官方网站、校园公示栏、新生报到现场及新生入学须知等渠道进行公示，实现信息覆盖全体新生。</w:t>
      </w:r>
    </w:p>
    <w:p w14:paraId="619346DC">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pPr>
      <w:r>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t>二是经费预算与决算公开方面，学院年度经费预算在学院官网及怀柔区信息网分别公示2次，涵盖一级单位和二级单位；年度财务决算同样在学院官网及怀柔区信息网公示2次，分别覆盖一级单位和二级单位</w:t>
      </w:r>
      <w:r>
        <w:rPr>
          <w:rFonts w:hint="eastAsia" w:ascii="Times New Roman" w:hAnsi="Times New Roman" w:eastAsia="仿宋_GB2312" w:cs="Times New Roman"/>
          <w:color w:val="000000" w:themeColor="text1"/>
          <w:kern w:val="0"/>
          <w:sz w:val="36"/>
          <w:szCs w:val="36"/>
          <w:lang w:val="zh-TW" w:eastAsia="zh-CN"/>
          <w14:textFill>
            <w14:solidFill>
              <w14:schemeClr w14:val="tx1"/>
            </w14:solidFill>
          </w14:textFill>
        </w:rPr>
        <w:t>；</w:t>
      </w:r>
      <w:r>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t>年度收支情况，通过</w:t>
      </w:r>
      <w:r>
        <w:rPr>
          <w:rFonts w:hint="eastAsia" w:ascii="Times New Roman" w:hAnsi="Times New Roman" w:eastAsia="仿宋_GB2312" w:cs="Times New Roman"/>
          <w:color w:val="000000" w:themeColor="text1"/>
          <w:kern w:val="0"/>
          <w:sz w:val="36"/>
          <w:szCs w:val="36"/>
          <w:highlight w:val="none"/>
          <w:lang w:val="zh-TW" w:eastAsia="zh-CN"/>
          <w14:textFill>
            <w14:solidFill>
              <w14:schemeClr w14:val="tx1"/>
            </w14:solidFill>
          </w14:textFill>
        </w:rPr>
        <w:t>民主日及教代会</w:t>
      </w:r>
      <w:r>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t>向全体教职工进行公开说明。</w:t>
      </w:r>
    </w:p>
    <w:p w14:paraId="2A0048DD">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color w:val="000000" w:themeColor="text1"/>
          <w:kern w:val="0"/>
          <w:sz w:val="36"/>
          <w:szCs w:val="36"/>
          <w:lang w:val="zh-TW"/>
          <w14:textFill>
            <w14:solidFill>
              <w14:schemeClr w14:val="tx1"/>
            </w14:solidFill>
          </w14:textFill>
        </w:rPr>
      </w:pPr>
      <w:r>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t>三是工程及专项经费公开方面，学院运动场综合修缮工程严格按照招投标</w:t>
      </w:r>
      <w:r>
        <w:rPr>
          <w:rFonts w:hint="eastAsia" w:ascii="Times New Roman" w:hAnsi="Times New Roman" w:eastAsia="仿宋_GB2312" w:cs="Times New Roman"/>
          <w:color w:val="000000" w:themeColor="text1"/>
          <w:kern w:val="0"/>
          <w:sz w:val="36"/>
          <w:szCs w:val="36"/>
          <w:lang w:val="zh-TW" w:eastAsia="zh-CN"/>
          <w14:textFill>
            <w14:solidFill>
              <w14:schemeClr w14:val="tx1"/>
            </w14:solidFill>
          </w14:textFill>
        </w:rPr>
        <w:t>及第三方评审</w:t>
      </w:r>
      <w:r>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t>程序实施，并向社会进行公开。通过上述举措，学院实现收费项目、预算决算及专项经费使用的全程公开，确保财务管理规范、透明、可监督。</w:t>
      </w:r>
    </w:p>
    <w:p w14:paraId="463AF799">
      <w:pPr>
        <w:pStyle w:val="11"/>
        <w:keepNext w:val="0"/>
        <w:keepLines w:val="0"/>
        <w:pageBreakBefore w:val="0"/>
        <w:numPr>
          <w:ilvl w:val="0"/>
          <w:numId w:val="0"/>
        </w:numPr>
        <w:kinsoku/>
        <w:wordWrap/>
        <w:overflowPunct/>
        <w:topLinePunct w:val="0"/>
        <w:autoSpaceDE/>
        <w:autoSpaceDN/>
        <w:bidi w:val="0"/>
        <w:adjustRightInd/>
        <w:snapToGrid/>
        <w:spacing w:line="560" w:lineRule="exact"/>
        <w:ind w:firstLine="723" w:firstLineChars="200"/>
        <w:textAlignment w:val="auto"/>
        <w:rPr>
          <w:rFonts w:hint="default" w:ascii="Times New Roman" w:hAnsi="Times New Roman" w:eastAsia="仿宋_GB2312" w:cs="Times New Roman"/>
          <w:b/>
          <w:color w:val="000000" w:themeColor="text1"/>
          <w:kern w:val="0"/>
          <w:sz w:val="36"/>
          <w:szCs w:val="36"/>
          <w:lang w:val="zh-TW"/>
          <w14:textFill>
            <w14:solidFill>
              <w14:schemeClr w14:val="tx1"/>
            </w14:solidFill>
          </w14:textFill>
        </w:rPr>
      </w:pPr>
      <w:r>
        <w:rPr>
          <w:rFonts w:hint="eastAsia" w:ascii="Times New Roman" w:hAnsi="Times New Roman" w:eastAsia="仿宋_GB2312" w:cs="Times New Roman"/>
          <w:b/>
          <w:color w:val="000000" w:themeColor="text1"/>
          <w:kern w:val="0"/>
          <w:sz w:val="36"/>
          <w:szCs w:val="36"/>
          <w:lang w:val="en-US" w:eastAsia="zh-CN"/>
          <w14:textFill>
            <w14:solidFill>
              <w14:schemeClr w14:val="tx1"/>
            </w14:solidFill>
          </w14:textFill>
        </w:rPr>
        <w:t>8.</w:t>
      </w:r>
      <w:r>
        <w:rPr>
          <w:rFonts w:ascii="Times New Roman" w:hAnsi="Times New Roman" w:eastAsia="仿宋_GB2312" w:cs="Times New Roman"/>
          <w:b/>
          <w:color w:val="000000" w:themeColor="text1"/>
          <w:kern w:val="0"/>
          <w:sz w:val="36"/>
          <w:szCs w:val="36"/>
          <w:lang w:val="zh-TW"/>
          <w14:textFill>
            <w14:solidFill>
              <w14:schemeClr w14:val="tx1"/>
            </w14:solidFill>
          </w14:textFill>
        </w:rPr>
        <w:t>食堂工作公开情况</w:t>
      </w:r>
    </w:p>
    <w:p w14:paraId="7CB225B2">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pPr>
      <w:r>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t>学院在学生食堂管理及服务信息公开方面，坚持规范、透明、可查可追溯的原则。一是食堂平抑资金拨付信息公开。学院通过官网、公示栏等渠道，及时公开平抑资金拨付申请及审批情况，共公开4次，每次公示期为7天。二是学生食堂服务满意度公开。学院后勤服务中心主任、学生处及院团委组织学生代表参观食堂，实地了解管理和服务情况，并开展满意度调查1次，调查结果显示整体满意度达到90%。</w:t>
      </w:r>
    </w:p>
    <w:p w14:paraId="5F22A245">
      <w:pPr>
        <w:pStyle w:val="11"/>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Times New Roman" w:hAnsi="Times New Roman" w:eastAsia="仿宋_GB2312" w:cs="Times New Roman"/>
          <w:color w:val="000000" w:themeColor="text1"/>
          <w:kern w:val="0"/>
          <w:sz w:val="36"/>
          <w:szCs w:val="36"/>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6"/>
          <w:szCs w:val="36"/>
          <w:lang w:val="en-US" w:eastAsia="zh-CN"/>
          <w14:textFill>
            <w14:solidFill>
              <w14:schemeClr w14:val="tx1"/>
            </w14:solidFill>
          </w14:textFill>
        </w:rPr>
        <w:t>9.纪委工作信息公开情况</w:t>
      </w:r>
    </w:p>
    <w:p w14:paraId="6A0B6E8E">
      <w:pPr>
        <w:pStyle w:val="11"/>
        <w:keepNext w:val="0"/>
        <w:keepLines w:val="0"/>
        <w:pageBreakBefore w:val="0"/>
        <w:numPr>
          <w:ilvl w:val="0"/>
          <w:numId w:val="0"/>
        </w:numPr>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color w:val="000000" w:themeColor="text1"/>
          <w:kern w:val="0"/>
          <w:sz w:val="36"/>
          <w:szCs w:val="36"/>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6"/>
          <w:szCs w:val="36"/>
          <w:lang w:val="en-US" w:eastAsia="zh-CN"/>
          <w14:textFill>
            <w14:solidFill>
              <w14:schemeClr w14:val="tx1"/>
            </w14:solidFill>
          </w14:textFill>
        </w:rPr>
        <w:t>学院纪委在信息公开工作中坚持规范化、制度化、全覆盖原则，通过官方微信公众号和企业微信平台向全院师生及相关人员发布各类信息。节假日前夕（元旦、春节、端午、五一、中秋、国庆）共发送廉政提醒信息6次，覆盖党员领导干部、党外人士、外聘人员及第三方服务人员，实现信息覆盖率100%，持续增强党员干部廉洁自律意识，从思想源头筑牢拒腐防变防线。学院还发布《中国共产党纪律处分条例》专题宣讲会信息及“深入学习贯彻中央八项规定精神”专题讲座信息</w:t>
      </w:r>
      <w:r>
        <w:rPr>
          <w:rFonts w:hint="eastAsia" w:ascii="Times New Roman" w:hAnsi="Times New Roman" w:eastAsia="仿宋_GB2312" w:cs="Times New Roman"/>
          <w:color w:val="000000" w:themeColor="text1"/>
          <w:kern w:val="0"/>
          <w:sz w:val="36"/>
          <w:szCs w:val="36"/>
          <w:lang w:val="en-US" w:eastAsia="zh-CN"/>
          <w14:textFill>
            <w14:solidFill>
              <w14:schemeClr w14:val="tx1"/>
            </w14:solidFill>
          </w14:textFill>
        </w:rPr>
        <w:t>各</w:t>
      </w:r>
      <w:r>
        <w:rPr>
          <w:rFonts w:hint="default" w:ascii="Times New Roman" w:hAnsi="Times New Roman" w:eastAsia="仿宋_GB2312" w:cs="Times New Roman"/>
          <w:color w:val="000000" w:themeColor="text1"/>
          <w:kern w:val="0"/>
          <w:sz w:val="36"/>
          <w:szCs w:val="36"/>
          <w:lang w:val="en-US" w:eastAsia="zh-CN"/>
          <w14:textFill>
            <w14:solidFill>
              <w14:schemeClr w14:val="tx1"/>
            </w14:solidFill>
          </w14:textFill>
        </w:rPr>
        <w:t>1次，提升全体教职工的纪律意识和规矩意识，为贯彻中央八项规定精神提供有力支持，推动党风廉政建设深入开展。同时，学院发布校园安全检查信息2次，重点涉及消防安全、水电安全、值班值守、设备设施安全及校园安全管理制度执行情况，排查各类安全隐患，筑牢校园安全防线。</w:t>
      </w:r>
    </w:p>
    <w:p w14:paraId="34C2B9DB">
      <w:pPr>
        <w:pStyle w:val="11"/>
        <w:keepNext w:val="0"/>
        <w:keepLines w:val="0"/>
        <w:pageBreakBefore w:val="0"/>
        <w:numPr>
          <w:ilvl w:val="0"/>
          <w:numId w:val="0"/>
        </w:numPr>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color w:val="000000" w:themeColor="text1"/>
          <w:kern w:val="0"/>
          <w:sz w:val="36"/>
          <w:szCs w:val="36"/>
          <w:lang w:val="en-US" w:eastAsia="zh-CN"/>
          <w14:textFill>
            <w14:solidFill>
              <w14:schemeClr w14:val="tx1"/>
            </w14:solidFill>
          </w14:textFill>
        </w:rPr>
      </w:pPr>
      <w:bookmarkStart w:id="0" w:name="_GoBack"/>
      <w:bookmarkEnd w:id="0"/>
    </w:p>
    <w:p w14:paraId="754E309D">
      <w:pPr>
        <w:pStyle w:val="11"/>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default" w:ascii="Times New Roman" w:hAnsi="Times New Roman" w:eastAsia="仿宋_GB2312" w:cs="Times New Roman"/>
          <w:b/>
          <w:color w:val="000000" w:themeColor="text1"/>
          <w:kern w:val="0"/>
          <w:sz w:val="36"/>
          <w:szCs w:val="36"/>
          <w:lang w:val="zh-TW"/>
          <w14:textFill>
            <w14:solidFill>
              <w14:schemeClr w14:val="tx1"/>
            </w14:solidFill>
          </w14:textFill>
        </w:rPr>
      </w:pPr>
      <w:r>
        <w:rPr>
          <w:rFonts w:hint="eastAsia" w:ascii="Times New Roman" w:hAnsi="Times New Roman" w:eastAsia="仿宋_GB2312" w:cs="Times New Roman"/>
          <w:b/>
          <w:color w:val="000000" w:themeColor="text1"/>
          <w:kern w:val="0"/>
          <w:sz w:val="36"/>
          <w:szCs w:val="36"/>
          <w:lang w:val="en-US" w:eastAsia="zh-CN"/>
          <w14:textFill>
            <w14:solidFill>
              <w14:schemeClr w14:val="tx1"/>
            </w14:solidFill>
          </w14:textFill>
        </w:rPr>
        <w:t>10.</w:t>
      </w:r>
      <w:r>
        <w:rPr>
          <w:rFonts w:hint="default" w:ascii="Times New Roman" w:hAnsi="Times New Roman" w:eastAsia="仿宋_GB2312" w:cs="Times New Roman"/>
          <w:b/>
          <w:color w:val="000000" w:themeColor="text1"/>
          <w:kern w:val="0"/>
          <w:sz w:val="36"/>
          <w:szCs w:val="36"/>
          <w:lang w:val="zh-TW"/>
          <w14:textFill>
            <w14:solidFill>
              <w14:schemeClr w14:val="tx1"/>
            </w14:solidFill>
          </w14:textFill>
        </w:rPr>
        <w:t>其它公开</w:t>
      </w:r>
      <w:r>
        <w:rPr>
          <w:rFonts w:ascii="Times New Roman" w:hAnsi="Times New Roman" w:eastAsia="仿宋_GB2312" w:cs="Times New Roman"/>
          <w:b/>
          <w:color w:val="000000" w:themeColor="text1"/>
          <w:kern w:val="0"/>
          <w:sz w:val="36"/>
          <w:szCs w:val="36"/>
          <w:lang w:val="zh-TW"/>
          <w14:textFill>
            <w14:solidFill>
              <w14:schemeClr w14:val="tx1"/>
            </w14:solidFill>
          </w14:textFill>
        </w:rPr>
        <w:t>的事项</w:t>
      </w:r>
    </w:p>
    <w:p w14:paraId="25D47288">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color w:val="000000" w:themeColor="text1"/>
          <w:kern w:val="0"/>
          <w:sz w:val="36"/>
          <w:szCs w:val="36"/>
          <w:lang w:val="zh-TW"/>
          <w14:textFill>
            <w14:solidFill>
              <w14:schemeClr w14:val="tx1"/>
            </w14:solidFill>
          </w14:textFill>
        </w:rPr>
      </w:pPr>
      <w:r>
        <w:rPr>
          <w:rFonts w:hint="default" w:ascii="Times New Roman" w:hAnsi="Times New Roman" w:eastAsia="仿宋_GB2312" w:cs="Times New Roman"/>
          <w:color w:val="000000" w:themeColor="text1"/>
          <w:kern w:val="0"/>
          <w:sz w:val="36"/>
          <w:szCs w:val="36"/>
          <w:lang w:val="zh-TW" w:eastAsia="zh-TW"/>
          <w14:textFill>
            <w14:solidFill>
              <w14:schemeClr w14:val="tx1"/>
            </w14:solidFill>
          </w14:textFill>
        </w:rPr>
        <w:t>为方便公众了解学院信息，</w:t>
      </w:r>
      <w:r>
        <w:rPr>
          <w:rFonts w:ascii="Times New Roman" w:hAnsi="Times New Roman" w:eastAsia="仿宋_GB2312" w:cs="Times New Roman"/>
          <w:color w:val="000000" w:themeColor="text1"/>
          <w:kern w:val="0"/>
          <w:sz w:val="36"/>
          <w:szCs w:val="36"/>
          <w:lang w:val="zh-TW"/>
          <w14:textFill>
            <w14:solidFill>
              <w14:schemeClr w14:val="tx1"/>
            </w14:solidFill>
          </w14:textFill>
        </w:rPr>
        <w:t>利用其他</w:t>
      </w:r>
      <w:r>
        <w:rPr>
          <w:rFonts w:hint="default" w:ascii="Times New Roman" w:hAnsi="Times New Roman" w:eastAsia="仿宋_GB2312" w:cs="Times New Roman"/>
          <w:color w:val="000000" w:themeColor="text1"/>
          <w:kern w:val="0"/>
          <w:sz w:val="36"/>
          <w:szCs w:val="36"/>
          <w:lang w:val="zh-TW" w:eastAsia="zh-TW"/>
          <w14:textFill>
            <w14:solidFill>
              <w14:schemeClr w14:val="tx1"/>
            </w14:solidFill>
          </w14:textFill>
        </w:rPr>
        <w:t>公开方式和途径</w:t>
      </w:r>
      <w:r>
        <w:rPr>
          <w:rFonts w:ascii="Times New Roman" w:hAnsi="Times New Roman" w:eastAsia="仿宋_GB2312" w:cs="Times New Roman"/>
          <w:color w:val="000000" w:themeColor="text1"/>
          <w:kern w:val="0"/>
          <w:sz w:val="36"/>
          <w:szCs w:val="36"/>
          <w:lang w:val="zh-TW"/>
          <w14:textFill>
            <w14:solidFill>
              <w14:schemeClr w14:val="tx1"/>
            </w14:solidFill>
          </w14:textFill>
        </w:rPr>
        <w:t>进行学院各项工作公开，</w:t>
      </w:r>
      <w:r>
        <w:rPr>
          <w:rFonts w:hint="default" w:ascii="Times New Roman" w:hAnsi="Times New Roman" w:eastAsia="仿宋_GB2312" w:cs="Times New Roman"/>
          <w:color w:val="000000" w:themeColor="text1"/>
          <w:kern w:val="0"/>
          <w:sz w:val="36"/>
          <w:szCs w:val="36"/>
          <w:lang w:val="zh-TW" w:eastAsia="zh-TW"/>
          <w14:textFill>
            <w14:solidFill>
              <w14:schemeClr w14:val="tx1"/>
            </w14:solidFill>
          </w14:textFill>
        </w:rPr>
        <w:t>包括：</w:t>
      </w:r>
      <w:r>
        <w:rPr>
          <w:rFonts w:ascii="Times New Roman" w:hAnsi="Times New Roman" w:eastAsia="仿宋_GB2312" w:cs="Times New Roman"/>
          <w:color w:val="000000" w:themeColor="text1"/>
          <w:kern w:val="0"/>
          <w:sz w:val="36"/>
          <w:szCs w:val="36"/>
          <w:lang w:val="zh-TW"/>
          <w14:textFill>
            <w14:solidFill>
              <w14:schemeClr w14:val="tx1"/>
            </w14:solidFill>
          </w14:textFill>
        </w:rPr>
        <w:t>北京教育</w:t>
      </w:r>
      <w:r>
        <w:rPr>
          <w:rFonts w:hint="default" w:ascii="Times New Roman" w:hAnsi="Times New Roman" w:eastAsia="仿宋_GB2312" w:cs="Times New Roman"/>
          <w:color w:val="000000" w:themeColor="text1"/>
          <w:kern w:val="0"/>
          <w:sz w:val="36"/>
          <w:szCs w:val="36"/>
          <w:lang w:val="zh-TW" w:eastAsia="zh-TW"/>
          <w14:textFill>
            <w14:solidFill>
              <w14:schemeClr w14:val="tx1"/>
            </w14:solidFill>
          </w14:textFill>
        </w:rPr>
        <w:t>年鉴</w:t>
      </w:r>
      <w:r>
        <w:rPr>
          <w:rFonts w:ascii="Times New Roman" w:hAnsi="Times New Roman" w:eastAsia="仿宋_GB2312" w:cs="Times New Roman"/>
          <w:color w:val="000000" w:themeColor="text1"/>
          <w:kern w:val="0"/>
          <w:sz w:val="36"/>
          <w:szCs w:val="36"/>
          <w:lang w:val="zh-TW"/>
          <w14:textFill>
            <w14:solidFill>
              <w14:schemeClr w14:val="tx1"/>
            </w14:solidFill>
          </w14:textFill>
        </w:rPr>
        <w:t>、怀柔年鉴、法人年度报告、工会法人年度报告、教学质量年报、学生手册</w:t>
      </w:r>
      <w:r>
        <w:rPr>
          <w:rFonts w:hint="default" w:ascii="Times New Roman" w:hAnsi="Times New Roman" w:eastAsia="仿宋_GB2312" w:cs="Times New Roman"/>
          <w:color w:val="000000" w:themeColor="text1"/>
          <w:kern w:val="0"/>
          <w:sz w:val="36"/>
          <w:szCs w:val="36"/>
          <w:lang w:val="zh-TW" w:eastAsia="zh-TW"/>
          <w14:textFill>
            <w14:solidFill>
              <w14:schemeClr w14:val="tx1"/>
            </w14:solidFill>
          </w14:textFill>
        </w:rPr>
        <w:t>等形式</w:t>
      </w:r>
      <w:r>
        <w:rPr>
          <w:rFonts w:ascii="Times New Roman" w:hAnsi="Times New Roman" w:eastAsia="仿宋_GB2312" w:cs="Times New Roman"/>
          <w:color w:val="000000" w:themeColor="text1"/>
          <w:kern w:val="0"/>
          <w:sz w:val="36"/>
          <w:szCs w:val="36"/>
          <w:lang w:val="zh-TW"/>
          <w14:textFill>
            <w14:solidFill>
              <w14:schemeClr w14:val="tx1"/>
            </w14:solidFill>
          </w14:textFill>
        </w:rPr>
        <w:t>予以</w:t>
      </w:r>
      <w:r>
        <w:rPr>
          <w:rFonts w:hint="default" w:ascii="Times New Roman" w:hAnsi="Times New Roman" w:eastAsia="仿宋_GB2312" w:cs="Times New Roman"/>
          <w:color w:val="000000" w:themeColor="text1"/>
          <w:kern w:val="0"/>
          <w:sz w:val="36"/>
          <w:szCs w:val="36"/>
          <w:lang w:val="zh-TW" w:eastAsia="zh-TW"/>
          <w14:textFill>
            <w14:solidFill>
              <w14:schemeClr w14:val="tx1"/>
            </w14:solidFill>
          </w14:textFill>
        </w:rPr>
        <w:t>公开</w:t>
      </w:r>
      <w:r>
        <w:rPr>
          <w:rFonts w:ascii="Times New Roman" w:hAnsi="Times New Roman" w:eastAsia="仿宋_GB2312" w:cs="Times New Roman"/>
          <w:color w:val="000000" w:themeColor="text1"/>
          <w:kern w:val="0"/>
          <w:sz w:val="36"/>
          <w:szCs w:val="36"/>
          <w:lang w:val="zh-TW"/>
          <w14:textFill>
            <w14:solidFill>
              <w14:schemeClr w14:val="tx1"/>
            </w14:solidFill>
          </w14:textFill>
        </w:rPr>
        <w:t>。</w:t>
      </w:r>
    </w:p>
    <w:p w14:paraId="1F3A4EA4">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default" w:cs="Times New Roman" w:asciiTheme="majorEastAsia" w:hAnsiTheme="majorEastAsia" w:eastAsiaTheme="majorEastAsia"/>
          <w:color w:val="000000" w:themeColor="text1"/>
          <w:kern w:val="0"/>
          <w:sz w:val="36"/>
          <w:szCs w:val="36"/>
          <w:lang w:val="zh-TW" w:eastAsia="zh-TW"/>
          <w14:textFill>
            <w14:solidFill>
              <w14:schemeClr w14:val="tx1"/>
            </w14:solidFill>
          </w14:textFill>
        </w:rPr>
      </w:pPr>
      <w:r>
        <w:rPr>
          <w:rFonts w:hint="default" w:cs="Times New Roman" w:asciiTheme="majorEastAsia" w:hAnsiTheme="majorEastAsia" w:eastAsiaTheme="majorEastAsia"/>
          <w:color w:val="000000" w:themeColor="text1"/>
          <w:kern w:val="0"/>
          <w:sz w:val="36"/>
          <w:szCs w:val="36"/>
          <w:lang w:val="zh-TW" w:eastAsia="zh-TW"/>
          <w14:textFill>
            <w14:solidFill>
              <w14:schemeClr w14:val="tx1"/>
            </w14:solidFill>
          </w14:textFill>
        </w:rPr>
        <w:t>三、依申请公开信息和不予公开情况</w:t>
      </w:r>
    </w:p>
    <w:p w14:paraId="291B1210">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PMingLiU" w:cs="Times New Roman"/>
          <w:color w:val="000000" w:themeColor="text1"/>
          <w:kern w:val="0"/>
          <w:sz w:val="36"/>
          <w:szCs w:val="36"/>
          <w:lang w:val="zh-TW" w:eastAsia="zh-TW"/>
          <w14:textFill>
            <w14:solidFill>
              <w14:schemeClr w14:val="tx1"/>
            </w14:solidFill>
          </w14:textFill>
        </w:rPr>
      </w:pPr>
      <w:r>
        <w:rPr>
          <w:rFonts w:hint="default" w:ascii="Times New Roman" w:hAnsi="Times New Roman" w:eastAsia="仿宋_GB2312" w:cs="Times New Roman"/>
          <w:color w:val="000000" w:themeColor="text1"/>
          <w:kern w:val="0"/>
          <w:sz w:val="36"/>
          <w:szCs w:val="36"/>
          <w:u w:color="FF0000"/>
          <w14:textFill>
            <w14:solidFill>
              <w14:schemeClr w14:val="tx1"/>
            </w14:solidFill>
          </w14:textFill>
        </w:rPr>
        <w:t>2024</w:t>
      </w:r>
      <w:r>
        <w:rPr>
          <w:rFonts w:hint="eastAsia" w:ascii="Times New Roman" w:hAnsi="Times New Roman" w:eastAsia="仿宋_GB2312" w:cs="Times New Roman"/>
          <w:color w:val="000000" w:themeColor="text1"/>
          <w:kern w:val="0"/>
          <w:sz w:val="36"/>
          <w:szCs w:val="36"/>
          <w:u w:color="FF0000"/>
          <w:lang w:val="en-US" w:eastAsia="zh-CN"/>
          <w14:textFill>
            <w14:solidFill>
              <w14:schemeClr w14:val="tx1"/>
            </w14:solidFill>
          </w14:textFill>
        </w:rPr>
        <w:t>至</w:t>
      </w:r>
      <w:r>
        <w:rPr>
          <w:rFonts w:hint="default" w:ascii="Times New Roman" w:hAnsi="Times New Roman" w:eastAsia="仿宋_GB2312" w:cs="Times New Roman"/>
          <w:color w:val="000000" w:themeColor="text1"/>
          <w:kern w:val="0"/>
          <w:sz w:val="36"/>
          <w:szCs w:val="36"/>
          <w:u w:color="FF0000"/>
          <w14:textFill>
            <w14:solidFill>
              <w14:schemeClr w14:val="tx1"/>
            </w14:solidFill>
          </w14:textFill>
        </w:rPr>
        <w:t>2025学年度，学院严格落实《高等学校信息公开办法》及相关规定，受理各类依申请公开信息的工作情况。年度内，学院未收到任何师生或社会公众的依申请信息公开申请，因此无依申请公开信息内容。同时，学院未发生需要拒绝公开或不予公开的信息事项。学院将继续保持依申请公开渠道畅通，严格规范受理和处理程序，确保信息公开依法、及时、透明，充分保障师生及社会公众的知情权。</w:t>
      </w:r>
    </w:p>
    <w:p w14:paraId="292BD6B3">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default" w:ascii="黑体" w:hAnsi="黑体" w:eastAsia="黑体" w:cs="Times New Roman"/>
          <w:color w:val="000000" w:themeColor="text1"/>
          <w:kern w:val="0"/>
          <w:sz w:val="36"/>
          <w:szCs w:val="36"/>
          <w:lang w:val="zh-TW" w:eastAsia="zh-TW"/>
          <w14:textFill>
            <w14:solidFill>
              <w14:schemeClr w14:val="tx1"/>
            </w14:solidFill>
          </w14:textFill>
        </w:rPr>
      </w:pPr>
      <w:r>
        <w:rPr>
          <w:rFonts w:hint="default" w:ascii="黑体" w:hAnsi="黑体" w:eastAsia="黑体" w:cs="Times New Roman"/>
          <w:color w:val="000000" w:themeColor="text1"/>
          <w:kern w:val="0"/>
          <w:sz w:val="36"/>
          <w:szCs w:val="36"/>
          <w:lang w:val="zh-TW" w:eastAsia="zh-TW"/>
          <w14:textFill>
            <w14:solidFill>
              <w14:schemeClr w14:val="tx1"/>
            </w14:solidFill>
          </w14:textFill>
        </w:rPr>
        <w:t>四、对信息公开的评议情况</w:t>
      </w:r>
    </w:p>
    <w:p w14:paraId="4B7954DA">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color w:val="000000" w:themeColor="text1"/>
          <w:kern w:val="0"/>
          <w:sz w:val="36"/>
          <w:szCs w:val="36"/>
          <w:u w:color="FF0000"/>
          <w14:textFill>
            <w14:solidFill>
              <w14:schemeClr w14:val="tx1"/>
            </w14:solidFill>
          </w14:textFill>
        </w:rPr>
      </w:pPr>
      <w:r>
        <w:rPr>
          <w:rFonts w:hint="default" w:ascii="Times New Roman" w:hAnsi="Times New Roman" w:eastAsia="仿宋_GB2312" w:cs="Times New Roman"/>
          <w:color w:val="000000" w:themeColor="text1"/>
          <w:kern w:val="0"/>
          <w:sz w:val="36"/>
          <w:szCs w:val="36"/>
          <w:u w:color="FF0000"/>
          <w14:textFill>
            <w14:solidFill>
              <w14:schemeClr w14:val="tx1"/>
            </w14:solidFill>
          </w14:textFill>
        </w:rPr>
        <w:t>2024</w:t>
      </w:r>
      <w:r>
        <w:rPr>
          <w:rFonts w:hint="eastAsia" w:ascii="Times New Roman" w:hAnsi="Times New Roman" w:eastAsia="仿宋_GB2312" w:cs="Times New Roman"/>
          <w:color w:val="000000" w:themeColor="text1"/>
          <w:kern w:val="0"/>
          <w:sz w:val="36"/>
          <w:szCs w:val="36"/>
          <w:u w:color="FF0000"/>
          <w:lang w:val="en-US" w:eastAsia="zh-CN"/>
          <w14:textFill>
            <w14:solidFill>
              <w14:schemeClr w14:val="tx1"/>
            </w14:solidFill>
          </w14:textFill>
        </w:rPr>
        <w:t>至</w:t>
      </w:r>
      <w:r>
        <w:rPr>
          <w:rFonts w:hint="default" w:ascii="Times New Roman" w:hAnsi="Times New Roman" w:eastAsia="仿宋_GB2312" w:cs="Times New Roman"/>
          <w:color w:val="000000" w:themeColor="text1"/>
          <w:kern w:val="0"/>
          <w:sz w:val="36"/>
          <w:szCs w:val="36"/>
          <w:u w:color="FF0000"/>
          <w14:textFill>
            <w14:solidFill>
              <w14:schemeClr w14:val="tx1"/>
            </w14:solidFill>
          </w14:textFill>
        </w:rPr>
        <w:t>2025学年度，学院通过设置信息公开信箱、召开座谈会及建言献策等形式，广泛收集师生员工、家长及社会公众对信息公开工作的意见和建议，并及时进行分析和改进。年度内，反馈显示，全体师生员工及社会公众对学院信息公开工作的总体满意度较高，认为信息公开工作及时、规范、透明，有效保障了知情权和监督权。</w:t>
      </w:r>
    </w:p>
    <w:p w14:paraId="14CDA3FD">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default" w:cs="Times New Roman" w:asciiTheme="majorEastAsia" w:hAnsiTheme="majorEastAsia" w:eastAsiaTheme="majorEastAsia"/>
          <w:b w:val="0"/>
          <w:bCs w:val="0"/>
          <w:color w:val="000000" w:themeColor="text1"/>
          <w:kern w:val="0"/>
          <w:sz w:val="36"/>
          <w:szCs w:val="36"/>
          <w:lang w:val="zh-TW" w:eastAsia="zh-TW"/>
          <w14:textFill>
            <w14:solidFill>
              <w14:schemeClr w14:val="tx1"/>
            </w14:solidFill>
          </w14:textFill>
        </w:rPr>
      </w:pPr>
      <w:r>
        <w:rPr>
          <w:rFonts w:hint="default" w:cs="Times New Roman" w:asciiTheme="majorEastAsia" w:hAnsiTheme="majorEastAsia" w:eastAsiaTheme="majorEastAsia"/>
          <w:b w:val="0"/>
          <w:bCs w:val="0"/>
          <w:color w:val="000000" w:themeColor="text1"/>
          <w:kern w:val="0"/>
          <w:sz w:val="36"/>
          <w:szCs w:val="36"/>
          <w:lang w:val="zh-TW" w:eastAsia="zh-TW"/>
          <w14:textFill>
            <w14:solidFill>
              <w14:schemeClr w14:val="tx1"/>
            </w14:solidFill>
          </w14:textFill>
        </w:rPr>
        <w:t>五、信息公开工作</w:t>
      </w:r>
      <w:r>
        <w:rPr>
          <w:rFonts w:cs="Times New Roman" w:asciiTheme="majorEastAsia" w:hAnsiTheme="majorEastAsia" w:eastAsiaTheme="majorEastAsia"/>
          <w:b w:val="0"/>
          <w:bCs w:val="0"/>
          <w:color w:val="000000" w:themeColor="text1"/>
          <w:kern w:val="0"/>
          <w:sz w:val="36"/>
          <w:szCs w:val="36"/>
          <w:lang w:val="zh-TW"/>
          <w14:textFill>
            <w14:solidFill>
              <w14:schemeClr w14:val="tx1"/>
            </w14:solidFill>
          </w14:textFill>
        </w:rPr>
        <w:t>被</w:t>
      </w:r>
      <w:r>
        <w:rPr>
          <w:rFonts w:hint="default" w:cs="Times New Roman" w:asciiTheme="majorEastAsia" w:hAnsiTheme="majorEastAsia" w:eastAsiaTheme="majorEastAsia"/>
          <w:b w:val="0"/>
          <w:bCs w:val="0"/>
          <w:color w:val="000000" w:themeColor="text1"/>
          <w:kern w:val="0"/>
          <w:sz w:val="36"/>
          <w:szCs w:val="36"/>
          <w:lang w:val="zh-TW" w:eastAsia="zh-TW"/>
          <w14:textFill>
            <w14:solidFill>
              <w14:schemeClr w14:val="tx1"/>
            </w14:solidFill>
          </w14:textFill>
        </w:rPr>
        <w:t>举报情况</w:t>
      </w:r>
    </w:p>
    <w:p w14:paraId="3C9DD775">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000000" w:themeColor="text1"/>
          <w:kern w:val="0"/>
          <w:sz w:val="36"/>
          <w:szCs w:val="36"/>
          <w:u w:color="FF0000"/>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6"/>
          <w:szCs w:val="36"/>
          <w:u w:color="FF0000"/>
          <w14:textFill>
            <w14:solidFill>
              <w14:schemeClr w14:val="tx1"/>
            </w14:solidFill>
          </w14:textFill>
        </w:rPr>
        <w:t>2024</w:t>
      </w:r>
      <w:r>
        <w:rPr>
          <w:rFonts w:hint="eastAsia" w:ascii="Times New Roman" w:hAnsi="Times New Roman" w:eastAsia="仿宋_GB2312" w:cs="Times New Roman"/>
          <w:color w:val="000000" w:themeColor="text1"/>
          <w:kern w:val="0"/>
          <w:sz w:val="36"/>
          <w:szCs w:val="36"/>
          <w:u w:color="FF0000"/>
          <w:lang w:val="en-US" w:eastAsia="zh-CN"/>
          <w14:textFill>
            <w14:solidFill>
              <w14:schemeClr w14:val="tx1"/>
            </w14:solidFill>
          </w14:textFill>
        </w:rPr>
        <w:t>至</w:t>
      </w:r>
      <w:r>
        <w:rPr>
          <w:rFonts w:hint="default" w:ascii="Times New Roman" w:hAnsi="Times New Roman" w:eastAsia="仿宋_GB2312" w:cs="Times New Roman"/>
          <w:color w:val="000000" w:themeColor="text1"/>
          <w:kern w:val="0"/>
          <w:sz w:val="36"/>
          <w:szCs w:val="36"/>
          <w:u w:color="FF0000"/>
          <w14:textFill>
            <w14:solidFill>
              <w14:schemeClr w14:val="tx1"/>
            </w14:solidFill>
          </w14:textFill>
        </w:rPr>
        <w:t>2025学年度，学院未收到任何针对信息公开工作的举报。学院将继续保持信息公开渠道畅通，严格落实管理和监督措施，确保信息公开工作规范、有序、透明。</w:t>
      </w:r>
    </w:p>
    <w:p w14:paraId="74F6261E">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default" w:cs="Times New Roman" w:asciiTheme="majorEastAsia" w:hAnsiTheme="majorEastAsia" w:eastAsiaTheme="majorEastAsia"/>
          <w:b w:val="0"/>
          <w:bCs w:val="0"/>
          <w:color w:val="000000" w:themeColor="text1"/>
          <w:kern w:val="0"/>
          <w:sz w:val="36"/>
          <w:szCs w:val="36"/>
          <w:lang w:val="zh-TW" w:eastAsia="zh-TW"/>
          <w14:textFill>
            <w14:solidFill>
              <w14:schemeClr w14:val="tx1"/>
            </w14:solidFill>
          </w14:textFill>
        </w:rPr>
      </w:pPr>
      <w:r>
        <w:rPr>
          <w:rFonts w:hint="default" w:cs="Times New Roman" w:asciiTheme="majorEastAsia" w:hAnsiTheme="majorEastAsia" w:eastAsiaTheme="majorEastAsia"/>
          <w:b w:val="0"/>
          <w:bCs w:val="0"/>
          <w:color w:val="000000" w:themeColor="text1"/>
          <w:kern w:val="0"/>
          <w:sz w:val="36"/>
          <w:szCs w:val="36"/>
          <w:lang w:val="zh-TW" w:eastAsia="zh-TW"/>
          <w14:textFill>
            <w14:solidFill>
              <w14:schemeClr w14:val="tx1"/>
            </w14:solidFill>
          </w14:textFill>
        </w:rPr>
        <w:t>六、</w:t>
      </w:r>
      <w:r>
        <w:rPr>
          <w:rFonts w:cs="Times New Roman" w:asciiTheme="majorEastAsia" w:hAnsiTheme="majorEastAsia" w:eastAsiaTheme="majorEastAsia"/>
          <w:b w:val="0"/>
          <w:bCs w:val="0"/>
          <w:color w:val="000000" w:themeColor="text1"/>
          <w:kern w:val="0"/>
          <w:sz w:val="36"/>
          <w:szCs w:val="36"/>
          <w:lang w:val="zh-TW" w:eastAsia="zh-TW"/>
          <w14:textFill>
            <w14:solidFill>
              <w14:schemeClr w14:val="tx1"/>
            </w14:solidFill>
          </w14:textFill>
        </w:rPr>
        <w:t>信息公开工作存在的问题和改进措施</w:t>
      </w:r>
    </w:p>
    <w:p w14:paraId="07894627">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pPr>
      <w:r>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t>2024</w:t>
      </w:r>
      <w:r>
        <w:rPr>
          <w:rFonts w:hint="eastAsia" w:ascii="Times New Roman" w:hAnsi="Times New Roman" w:eastAsia="仿宋_GB2312" w:cs="Times New Roman"/>
          <w:color w:val="000000" w:themeColor="text1"/>
          <w:kern w:val="0"/>
          <w:sz w:val="36"/>
          <w:szCs w:val="36"/>
          <w:lang w:val="en-US" w:eastAsia="zh-CN"/>
          <w14:textFill>
            <w14:solidFill>
              <w14:schemeClr w14:val="tx1"/>
            </w14:solidFill>
          </w14:textFill>
        </w:rPr>
        <w:t>至</w:t>
      </w:r>
      <w:r>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t>2025学年度，在市教委的正确指导下，学院信息公开工作取得一定进展，但仍存在一些薄弱环节，主要表现在：信息公开渠道有待进一步拓展，信息公开内容有待进一步完善。</w:t>
      </w:r>
    </w:p>
    <w:p w14:paraId="67B05636">
      <w:pPr>
        <w:pStyle w:val="11"/>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color w:val="000000" w:themeColor="text1"/>
          <w:kern w:val="0"/>
          <w:sz w:val="36"/>
          <w:szCs w:val="36"/>
          <w:u w:color="FF0000"/>
          <w:lang w:val="zh-TW"/>
          <w14:textFill>
            <w14:solidFill>
              <w14:schemeClr w14:val="tx1"/>
            </w14:solidFill>
          </w14:textFill>
        </w:rPr>
      </w:pPr>
      <w:r>
        <w:rPr>
          <w:rFonts w:hint="eastAsia" w:ascii="Times New Roman" w:hAnsi="Times New Roman" w:eastAsia="仿宋_GB2312" w:cs="Times New Roman"/>
          <w:color w:val="000000" w:themeColor="text1"/>
          <w:kern w:val="0"/>
          <w:sz w:val="36"/>
          <w:szCs w:val="36"/>
          <w:lang w:val="zh-TW" w:eastAsia="zh-TW"/>
          <w14:textFill>
            <w14:solidFill>
              <w14:schemeClr w14:val="tx1"/>
            </w14:solidFill>
          </w14:textFill>
        </w:rPr>
        <w:t>针对上述问题，学院将采取以下改进措施：一是强化各相关部门及工作人员的信息公开意识，开展理论培训和业务指导，进一步理顺并完善信息公开工作机制，提升信息公开的制度化、规范化水平；二是加强信息化建设，优化信息公开渠道，提升信息公开的实效性和覆盖面，确保信息公开工作更加及时、全面、透明。</w:t>
      </w:r>
    </w:p>
    <w:p w14:paraId="0ADD36A2">
      <w:pPr>
        <w:pStyle w:val="11"/>
        <w:spacing w:line="560" w:lineRule="exact"/>
        <w:rPr>
          <w:rFonts w:hint="default" w:ascii="Times New Roman" w:hAnsi="Times New Roman" w:eastAsia="仿宋_GB2312" w:cs="Times New Roman"/>
          <w:color w:val="000000" w:themeColor="text1"/>
          <w:kern w:val="0"/>
          <w:sz w:val="36"/>
          <w:szCs w:val="36"/>
          <w:u w:color="FF0000"/>
          <w:lang w:val="zh-TW"/>
          <w14:textFill>
            <w14:solidFill>
              <w14:schemeClr w14:val="tx1"/>
            </w14:solidFill>
          </w14:textFill>
        </w:rPr>
      </w:pPr>
    </w:p>
    <w:p w14:paraId="4E02E037">
      <w:pPr>
        <w:pStyle w:val="11"/>
        <w:spacing w:line="560" w:lineRule="exact"/>
        <w:ind w:firstLine="720" w:firstLineChars="200"/>
        <w:jc w:val="right"/>
        <w:rPr>
          <w:rFonts w:hint="default" w:ascii="Times New Roman" w:hAnsi="Times New Roman" w:eastAsia="仿宋_GB2312" w:cs="Times New Roman"/>
          <w:color w:val="000000" w:themeColor="text1"/>
          <w:kern w:val="0"/>
          <w:sz w:val="36"/>
          <w:szCs w:val="36"/>
          <w:lang w:val="zh-TW"/>
          <w14:textFill>
            <w14:solidFill>
              <w14:schemeClr w14:val="tx1"/>
            </w14:solidFill>
          </w14:textFill>
        </w:rPr>
      </w:pPr>
      <w:r>
        <w:rPr>
          <w:rFonts w:ascii="Times New Roman" w:hAnsi="Times New Roman" w:eastAsia="仿宋_GB2312" w:cs="Times New Roman"/>
          <w:color w:val="000000" w:themeColor="text1"/>
          <w:kern w:val="0"/>
          <w:sz w:val="36"/>
          <w:szCs w:val="36"/>
          <w:u w:color="FF0000"/>
          <w:lang w:val="zh-TW"/>
          <w14:textFill>
            <w14:solidFill>
              <w14:schemeClr w14:val="tx1"/>
            </w14:solidFill>
          </w14:textFill>
        </w:rPr>
        <w:t>北京京北职业技术学院</w:t>
      </w:r>
    </w:p>
    <w:p w14:paraId="56F9A775">
      <w:pPr>
        <w:pStyle w:val="11"/>
        <w:widowControl/>
        <w:wordWrap w:val="0"/>
        <w:spacing w:line="560" w:lineRule="exact"/>
        <w:ind w:firstLine="720" w:firstLineChars="200"/>
        <w:jc w:val="right"/>
        <w:rPr>
          <w:rFonts w:hint="default" w:ascii="Times New Roman" w:hAnsi="Times New Roman" w:eastAsia="PMingLiU" w:cs="Times New Roman"/>
          <w:color w:val="000000" w:themeColor="text1"/>
          <w:sz w:val="36"/>
          <w:szCs w:val="36"/>
          <w14:textFill>
            <w14:solidFill>
              <w14:schemeClr w14:val="tx1"/>
            </w14:solidFill>
          </w14:textFill>
        </w:rPr>
      </w:pPr>
      <w:r>
        <w:rPr>
          <w:rFonts w:hint="default" w:ascii="Times New Roman" w:hAnsi="Times New Roman" w:eastAsia="仿宋_GB2312" w:cs="Times New Roman"/>
          <w:color w:val="000000" w:themeColor="text1"/>
          <w:kern w:val="0"/>
          <w:sz w:val="36"/>
          <w:szCs w:val="36"/>
          <w:u w:color="FF0000"/>
          <w14:textFill>
            <w14:solidFill>
              <w14:schemeClr w14:val="tx1"/>
            </w14:solidFill>
          </w14:textFill>
        </w:rPr>
        <w:t>202</w:t>
      </w:r>
      <w:r>
        <w:rPr>
          <w:rFonts w:hint="eastAsia" w:ascii="Times New Roman" w:hAnsi="Times New Roman" w:eastAsia="仿宋_GB2312" w:cs="Times New Roman"/>
          <w:color w:val="000000" w:themeColor="text1"/>
          <w:kern w:val="0"/>
          <w:sz w:val="36"/>
          <w:szCs w:val="36"/>
          <w:u w:color="FF0000"/>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6"/>
          <w:szCs w:val="36"/>
          <w:u w:color="FF0000"/>
          <w:lang w:val="zh-TW" w:eastAsia="zh-TW"/>
          <w14:textFill>
            <w14:solidFill>
              <w14:schemeClr w14:val="tx1"/>
            </w14:solidFill>
          </w14:textFill>
        </w:rPr>
        <w:t>年</w:t>
      </w:r>
      <w:r>
        <w:rPr>
          <w:rFonts w:hint="default" w:ascii="Times New Roman" w:hAnsi="Times New Roman" w:eastAsia="仿宋_GB2312" w:cs="Times New Roman"/>
          <w:color w:val="000000" w:themeColor="text1"/>
          <w:kern w:val="0"/>
          <w:sz w:val="36"/>
          <w:szCs w:val="36"/>
          <w:u w:color="FF0000"/>
          <w14:textFill>
            <w14:solidFill>
              <w14:schemeClr w14:val="tx1"/>
            </w14:solidFill>
          </w14:textFill>
        </w:rPr>
        <w:t>10</w:t>
      </w:r>
      <w:r>
        <w:rPr>
          <w:rFonts w:hint="default" w:ascii="Times New Roman" w:hAnsi="Times New Roman" w:eastAsia="仿宋_GB2312" w:cs="Times New Roman"/>
          <w:color w:val="000000" w:themeColor="text1"/>
          <w:kern w:val="0"/>
          <w:sz w:val="36"/>
          <w:szCs w:val="36"/>
          <w:u w:color="FF0000"/>
          <w:lang w:val="zh-TW" w:eastAsia="zh-TW"/>
          <w14:textFill>
            <w14:solidFill>
              <w14:schemeClr w14:val="tx1"/>
            </w14:solidFill>
          </w14:textFill>
        </w:rPr>
        <w:t>月</w:t>
      </w:r>
      <w:r>
        <w:rPr>
          <w:rFonts w:hint="eastAsia" w:ascii="Times New Roman" w:hAnsi="Times New Roman" w:eastAsia="仿宋_GB2312" w:cs="Times New Roman"/>
          <w:color w:val="000000" w:themeColor="text1"/>
          <w:kern w:val="0"/>
          <w:sz w:val="36"/>
          <w:szCs w:val="36"/>
          <w:u w:color="FF0000"/>
          <w:lang w:val="en-US" w:eastAsia="zh-CN"/>
          <w14:textFill>
            <w14:solidFill>
              <w14:schemeClr w14:val="tx1"/>
            </w14:solidFill>
          </w14:textFill>
        </w:rPr>
        <w:t>31</w:t>
      </w:r>
      <w:r>
        <w:rPr>
          <w:rFonts w:hint="default" w:ascii="Times New Roman" w:hAnsi="Times New Roman" w:eastAsia="仿宋_GB2312" w:cs="Times New Roman"/>
          <w:color w:val="000000" w:themeColor="text1"/>
          <w:kern w:val="0"/>
          <w:sz w:val="36"/>
          <w:szCs w:val="36"/>
          <w:u w:color="FF0000"/>
          <w:lang w:val="zh-TW" w:eastAsia="zh-TW"/>
          <w14:textFill>
            <w14:solidFill>
              <w14:schemeClr w14:val="tx1"/>
            </w14:solidFill>
          </w14:textFill>
        </w:rPr>
        <w:t>日</w:t>
      </w:r>
      <w:r>
        <w:rPr>
          <w:rFonts w:ascii="Times New Roman" w:hAnsi="Times New Roman" w:eastAsia="仿宋_GB2312" w:cs="Times New Roman"/>
          <w:color w:val="000000" w:themeColor="text1"/>
          <w:kern w:val="0"/>
          <w:sz w:val="36"/>
          <w:szCs w:val="36"/>
          <w:u w:color="FF0000"/>
          <w:lang w:val="zh-TW"/>
          <w14:textFill>
            <w14:solidFill>
              <w14:schemeClr w14:val="tx1"/>
            </w14:solidFill>
          </w14:textFill>
        </w:rPr>
        <w:t xml:space="preserve">    </w:t>
      </w:r>
    </w:p>
    <w:sectPr>
      <w:footerReference r:id="rId3" w:type="default"/>
      <w:pgSz w:w="11900" w:h="16840"/>
      <w:pgMar w:top="2098" w:right="1474" w:bottom="1984" w:left="158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731393-3617-418A-B45B-8338EA52CF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embedRegular r:id="rId2" w:fontKey="{A12E6524-BDDC-45E8-A5DB-17B4701657BE}"/>
  </w:font>
  <w:font w:name="Helvetica Neue">
    <w:altName w:val="Times New Roman"/>
    <w:panose1 w:val="00000000000000000000"/>
    <w:charset w:val="00"/>
    <w:family w:val="auto"/>
    <w:pitch w:val="default"/>
    <w:sig w:usb0="00000000" w:usb1="00000000" w:usb2="00000010" w:usb3="00000000" w:csb0="00000000" w:csb1="00000000"/>
    <w:embedRegular r:id="rId3" w:fontKey="{AD991876-380D-4E07-A35F-D58C1B2554A9}"/>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8AC46F19-F5F5-4E31-B00B-B015D508F075}"/>
  </w:font>
  <w:font w:name="楷体">
    <w:panose1 w:val="02010609060101010101"/>
    <w:charset w:val="86"/>
    <w:family w:val="modern"/>
    <w:pitch w:val="default"/>
    <w:sig w:usb0="800002BF" w:usb1="38CF7CFA" w:usb2="00000016" w:usb3="00000000" w:csb0="00040001" w:csb1="00000000"/>
    <w:embedRegular r:id="rId5" w:fontKey="{34914939-593E-4E0A-BE76-4991A6287107}"/>
  </w:font>
  <w:font w:name="微软雅黑">
    <w:panose1 w:val="020B0503020204020204"/>
    <w:charset w:val="86"/>
    <w:family w:val="swiss"/>
    <w:pitch w:val="default"/>
    <w:sig w:usb0="80000287" w:usb1="280F3C52" w:usb2="00000016" w:usb3="00000000" w:csb0="0004001F" w:csb1="00000000"/>
    <w:embedRegular r:id="rId6" w:fontKey="{DA87AD71-EAED-4909-A217-41A08785A5CD}"/>
  </w:font>
  <w:font w:name="PMingLiU">
    <w:panose1 w:val="02020500000000000000"/>
    <w:charset w:val="88"/>
    <w:family w:val="roman"/>
    <w:pitch w:val="default"/>
    <w:sig w:usb0="A00002FF" w:usb1="28CFFCFA" w:usb2="00000016" w:usb3="00000000" w:csb0="00100001" w:csb1="00000000"/>
    <w:embedRegular r:id="rId7" w:fontKey="{DFDF6562-9498-4283-8E07-B7B5750ABF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62B65">
    <w:pPr>
      <w:pStyle w:val="3"/>
      <w:tabs>
        <w:tab w:val="right" w:pos="8280"/>
        <w:tab w:val="clear" w:pos="8306"/>
      </w:tabs>
      <w:jc w:val="center"/>
    </w:pPr>
    <w:r>
      <w:fldChar w:fldCharType="begin"/>
    </w:r>
    <w:r>
      <w:instrText xml:space="preserve"> PAGE </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D7"/>
    <w:rsid w:val="00012B27"/>
    <w:rsid w:val="00021510"/>
    <w:rsid w:val="000243E4"/>
    <w:rsid w:val="00026BC9"/>
    <w:rsid w:val="00077EC2"/>
    <w:rsid w:val="000925D4"/>
    <w:rsid w:val="000A7D2A"/>
    <w:rsid w:val="000B2073"/>
    <w:rsid w:val="000C39C7"/>
    <w:rsid w:val="000C632B"/>
    <w:rsid w:val="000F3D93"/>
    <w:rsid w:val="000F6DDF"/>
    <w:rsid w:val="00103724"/>
    <w:rsid w:val="00121E5A"/>
    <w:rsid w:val="00157F6B"/>
    <w:rsid w:val="001732AC"/>
    <w:rsid w:val="00193731"/>
    <w:rsid w:val="001B1227"/>
    <w:rsid w:val="001B4EF9"/>
    <w:rsid w:val="001C1A3E"/>
    <w:rsid w:val="001D0528"/>
    <w:rsid w:val="001D21E8"/>
    <w:rsid w:val="001F6514"/>
    <w:rsid w:val="001F7469"/>
    <w:rsid w:val="00212056"/>
    <w:rsid w:val="00212208"/>
    <w:rsid w:val="00221305"/>
    <w:rsid w:val="00224951"/>
    <w:rsid w:val="00245A42"/>
    <w:rsid w:val="00254FF2"/>
    <w:rsid w:val="002723CE"/>
    <w:rsid w:val="00291FD9"/>
    <w:rsid w:val="002955BD"/>
    <w:rsid w:val="002B1690"/>
    <w:rsid w:val="002C1876"/>
    <w:rsid w:val="003456B6"/>
    <w:rsid w:val="00353D43"/>
    <w:rsid w:val="00386DC0"/>
    <w:rsid w:val="003A0318"/>
    <w:rsid w:val="003A69D7"/>
    <w:rsid w:val="003B5F0E"/>
    <w:rsid w:val="003E4681"/>
    <w:rsid w:val="003F2835"/>
    <w:rsid w:val="003F3D1E"/>
    <w:rsid w:val="0043053E"/>
    <w:rsid w:val="00435C0F"/>
    <w:rsid w:val="004573C3"/>
    <w:rsid w:val="00470B59"/>
    <w:rsid w:val="00492D80"/>
    <w:rsid w:val="004932CB"/>
    <w:rsid w:val="00496B10"/>
    <w:rsid w:val="00527874"/>
    <w:rsid w:val="00571386"/>
    <w:rsid w:val="005A2746"/>
    <w:rsid w:val="005A53FE"/>
    <w:rsid w:val="005A62A0"/>
    <w:rsid w:val="00622706"/>
    <w:rsid w:val="00641D2C"/>
    <w:rsid w:val="00647E45"/>
    <w:rsid w:val="006A53C9"/>
    <w:rsid w:val="006C30BA"/>
    <w:rsid w:val="006C6A6A"/>
    <w:rsid w:val="006C76AE"/>
    <w:rsid w:val="006E463F"/>
    <w:rsid w:val="00705390"/>
    <w:rsid w:val="00710399"/>
    <w:rsid w:val="007319EA"/>
    <w:rsid w:val="00747D83"/>
    <w:rsid w:val="0078318B"/>
    <w:rsid w:val="00796BEA"/>
    <w:rsid w:val="007A5960"/>
    <w:rsid w:val="007A616B"/>
    <w:rsid w:val="007A6F35"/>
    <w:rsid w:val="007E0714"/>
    <w:rsid w:val="007E0ABE"/>
    <w:rsid w:val="007F2622"/>
    <w:rsid w:val="00801FEB"/>
    <w:rsid w:val="008266E6"/>
    <w:rsid w:val="008461A5"/>
    <w:rsid w:val="00847364"/>
    <w:rsid w:val="008648B9"/>
    <w:rsid w:val="00865241"/>
    <w:rsid w:val="008713E4"/>
    <w:rsid w:val="00875515"/>
    <w:rsid w:val="00877056"/>
    <w:rsid w:val="00883ED5"/>
    <w:rsid w:val="00895EA8"/>
    <w:rsid w:val="008A6969"/>
    <w:rsid w:val="008B7BB2"/>
    <w:rsid w:val="008C2090"/>
    <w:rsid w:val="00912990"/>
    <w:rsid w:val="00971EE9"/>
    <w:rsid w:val="0098397D"/>
    <w:rsid w:val="00986629"/>
    <w:rsid w:val="009902DD"/>
    <w:rsid w:val="009B3AC3"/>
    <w:rsid w:val="00A02A1E"/>
    <w:rsid w:val="00A02ACB"/>
    <w:rsid w:val="00A42177"/>
    <w:rsid w:val="00A431E7"/>
    <w:rsid w:val="00A614AA"/>
    <w:rsid w:val="00A707FB"/>
    <w:rsid w:val="00AA7384"/>
    <w:rsid w:val="00AC72B5"/>
    <w:rsid w:val="00AF63BA"/>
    <w:rsid w:val="00B10810"/>
    <w:rsid w:val="00B213BF"/>
    <w:rsid w:val="00B25BCA"/>
    <w:rsid w:val="00B261E2"/>
    <w:rsid w:val="00B34221"/>
    <w:rsid w:val="00B666A9"/>
    <w:rsid w:val="00B7360F"/>
    <w:rsid w:val="00BB3DC1"/>
    <w:rsid w:val="00BD599C"/>
    <w:rsid w:val="00BE4076"/>
    <w:rsid w:val="00C0059F"/>
    <w:rsid w:val="00C23B88"/>
    <w:rsid w:val="00C60BE8"/>
    <w:rsid w:val="00C747BD"/>
    <w:rsid w:val="00C86E8D"/>
    <w:rsid w:val="00CB0061"/>
    <w:rsid w:val="00CF2720"/>
    <w:rsid w:val="00D31293"/>
    <w:rsid w:val="00D55952"/>
    <w:rsid w:val="00D63760"/>
    <w:rsid w:val="00D81755"/>
    <w:rsid w:val="00DE0A35"/>
    <w:rsid w:val="00DE1050"/>
    <w:rsid w:val="00DE4FED"/>
    <w:rsid w:val="00E22C07"/>
    <w:rsid w:val="00E340E7"/>
    <w:rsid w:val="00E662F0"/>
    <w:rsid w:val="00E722CD"/>
    <w:rsid w:val="00E822B6"/>
    <w:rsid w:val="00E876A7"/>
    <w:rsid w:val="00EA11A6"/>
    <w:rsid w:val="00EA126D"/>
    <w:rsid w:val="00EA3061"/>
    <w:rsid w:val="00EA357F"/>
    <w:rsid w:val="00EC0248"/>
    <w:rsid w:val="00EC4DB6"/>
    <w:rsid w:val="00EC5B2E"/>
    <w:rsid w:val="00EC65B9"/>
    <w:rsid w:val="00EE5B93"/>
    <w:rsid w:val="00EF27CA"/>
    <w:rsid w:val="00F01FA0"/>
    <w:rsid w:val="00F21602"/>
    <w:rsid w:val="00F4115F"/>
    <w:rsid w:val="00FA6403"/>
    <w:rsid w:val="00FB6793"/>
    <w:rsid w:val="0160084E"/>
    <w:rsid w:val="01B60A7A"/>
    <w:rsid w:val="0250441F"/>
    <w:rsid w:val="026133F4"/>
    <w:rsid w:val="02997B7C"/>
    <w:rsid w:val="039743A6"/>
    <w:rsid w:val="03A26EFC"/>
    <w:rsid w:val="051575C2"/>
    <w:rsid w:val="093A1985"/>
    <w:rsid w:val="0A4D56E8"/>
    <w:rsid w:val="0B0066A2"/>
    <w:rsid w:val="0D4508F8"/>
    <w:rsid w:val="0E0501E3"/>
    <w:rsid w:val="0E407A3D"/>
    <w:rsid w:val="0E9D6C3E"/>
    <w:rsid w:val="0EE04D4D"/>
    <w:rsid w:val="10025C94"/>
    <w:rsid w:val="101412D3"/>
    <w:rsid w:val="11A42091"/>
    <w:rsid w:val="11DD37F5"/>
    <w:rsid w:val="11E06E41"/>
    <w:rsid w:val="12521AED"/>
    <w:rsid w:val="130D5540"/>
    <w:rsid w:val="14667AD2"/>
    <w:rsid w:val="169A3A63"/>
    <w:rsid w:val="183F5E64"/>
    <w:rsid w:val="1CD5385E"/>
    <w:rsid w:val="201E5705"/>
    <w:rsid w:val="207351F3"/>
    <w:rsid w:val="21355D04"/>
    <w:rsid w:val="240864B0"/>
    <w:rsid w:val="25922771"/>
    <w:rsid w:val="26D27249"/>
    <w:rsid w:val="26F929A0"/>
    <w:rsid w:val="28A569C3"/>
    <w:rsid w:val="29326B29"/>
    <w:rsid w:val="2B554BBA"/>
    <w:rsid w:val="2D8F379E"/>
    <w:rsid w:val="2DCD0A11"/>
    <w:rsid w:val="2E024716"/>
    <w:rsid w:val="30202DD3"/>
    <w:rsid w:val="312E1520"/>
    <w:rsid w:val="314A45AB"/>
    <w:rsid w:val="31F36AAD"/>
    <w:rsid w:val="31F66987"/>
    <w:rsid w:val="32B019D3"/>
    <w:rsid w:val="3BC06454"/>
    <w:rsid w:val="3E2148E6"/>
    <w:rsid w:val="3F0B2EA0"/>
    <w:rsid w:val="401D732F"/>
    <w:rsid w:val="418A7109"/>
    <w:rsid w:val="42C910A8"/>
    <w:rsid w:val="44AD2D29"/>
    <w:rsid w:val="453018B3"/>
    <w:rsid w:val="456442B5"/>
    <w:rsid w:val="45D70058"/>
    <w:rsid w:val="461D07A5"/>
    <w:rsid w:val="469C5B67"/>
    <w:rsid w:val="47985C8C"/>
    <w:rsid w:val="48496F13"/>
    <w:rsid w:val="489F276C"/>
    <w:rsid w:val="4A121587"/>
    <w:rsid w:val="4A2D17DA"/>
    <w:rsid w:val="4A6E0895"/>
    <w:rsid w:val="4A88284C"/>
    <w:rsid w:val="4B6F670D"/>
    <w:rsid w:val="4C3262BB"/>
    <w:rsid w:val="4D6935E3"/>
    <w:rsid w:val="50D457E8"/>
    <w:rsid w:val="50E83041"/>
    <w:rsid w:val="541A28D9"/>
    <w:rsid w:val="5467104B"/>
    <w:rsid w:val="5635422B"/>
    <w:rsid w:val="56CD7199"/>
    <w:rsid w:val="56E765E9"/>
    <w:rsid w:val="58694A68"/>
    <w:rsid w:val="58E00C58"/>
    <w:rsid w:val="596A4F3B"/>
    <w:rsid w:val="59C55D87"/>
    <w:rsid w:val="5A8D76D4"/>
    <w:rsid w:val="5C5E240A"/>
    <w:rsid w:val="5DE80860"/>
    <w:rsid w:val="5F2931A3"/>
    <w:rsid w:val="64016744"/>
    <w:rsid w:val="645B3DFE"/>
    <w:rsid w:val="64CE6B12"/>
    <w:rsid w:val="668D4017"/>
    <w:rsid w:val="66996E60"/>
    <w:rsid w:val="67F32768"/>
    <w:rsid w:val="6A114F5F"/>
    <w:rsid w:val="6AE668C9"/>
    <w:rsid w:val="6DE97F75"/>
    <w:rsid w:val="6E2E4332"/>
    <w:rsid w:val="6EB70B6B"/>
    <w:rsid w:val="6F6A3147"/>
    <w:rsid w:val="6FEF1353"/>
    <w:rsid w:val="702B124D"/>
    <w:rsid w:val="7076611F"/>
    <w:rsid w:val="71E333B4"/>
    <w:rsid w:val="73930709"/>
    <w:rsid w:val="74207B19"/>
    <w:rsid w:val="76472434"/>
    <w:rsid w:val="769D1658"/>
    <w:rsid w:val="78E0091E"/>
    <w:rsid w:val="79F6478D"/>
    <w:rsid w:val="7AB12562"/>
    <w:rsid w:val="7C6D4277"/>
    <w:rsid w:val="7D452408"/>
    <w:rsid w:val="7D861837"/>
    <w:rsid w:val="7DCB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eastAsiaTheme="minorEastAsia"/>
      <w:sz w:val="24"/>
      <w:szCs w:val="24"/>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qFormat/>
    <w:uiPriority w:val="0"/>
    <w:rPr>
      <w:u w:val="single"/>
    </w:rPr>
  </w:style>
  <w:style w:type="table" w:customStyle="1" w:styleId="9">
    <w:name w:val="Table Normal"/>
    <w:qFormat/>
    <w:uiPriority w:val="0"/>
    <w:tblPr>
      <w:tblCellMar>
        <w:top w:w="0" w:type="dxa"/>
        <w:left w:w="0" w:type="dxa"/>
        <w:bottom w:w="0" w:type="dxa"/>
        <w:right w:w="0" w:type="dxa"/>
      </w:tblCellMar>
    </w:tblPr>
  </w:style>
  <w:style w:type="paragraph" w:customStyle="1" w:styleId="10">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1">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Calibri" w:cs="Arial Unicode MS"/>
      <w:color w:val="000000"/>
      <w:kern w:val="2"/>
      <w:sz w:val="21"/>
      <w:szCs w:val="21"/>
      <w:u w:color="000000"/>
      <w:lang w:val="en-US" w:eastAsia="zh-CN" w:bidi="ar-SA"/>
    </w:rPr>
  </w:style>
  <w:style w:type="character" w:customStyle="1" w:styleId="12">
    <w:name w:val="页眉 Char"/>
    <w:basedOn w:val="6"/>
    <w:link w:val="4"/>
    <w:qFormat/>
    <w:uiPriority w:val="99"/>
    <w:rPr>
      <w:sz w:val="18"/>
      <w:szCs w:val="18"/>
      <w:lang w:eastAsia="en-US"/>
    </w:rPr>
  </w:style>
  <w:style w:type="character" w:customStyle="1" w:styleId="13">
    <w:name w:val="批注框文本 Char"/>
    <w:basedOn w:val="6"/>
    <w:link w:val="2"/>
    <w:semiHidden/>
    <w:qFormat/>
    <w:uiPriority w:val="99"/>
    <w:rPr>
      <w:sz w:val="18"/>
      <w:szCs w:val="18"/>
      <w:lang w:eastAsia="en-US"/>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Home</Company>
  <Pages>10</Pages>
  <Words>4274</Words>
  <Characters>4371</Characters>
  <Lines>19</Lines>
  <Paragraphs>5</Paragraphs>
  <TotalTime>1</TotalTime>
  <ScaleCrop>false</ScaleCrop>
  <LinksUpToDate>false</LinksUpToDate>
  <CharactersWithSpaces>4375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2020-10-23T02:47:00Z</dcterms:created>
  <dc:creator>Administrator</dc:creator>
  <cp:lastModifiedBy>Mona Meng</cp:lastModifiedBy>
  <cp:lastPrinted>2025-11-06T06:37:00Z</cp:lastPrinted>
  <dcterms:modified xsi:type="dcterms:W3CDTF">2025-11-06T06:43:38Z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eyJoZGlkIjoiNmVmMThiMTIwYTYwNTgxZjljNWM4NzkxMTY1N2RmYWIiLCJ1c2VySWQiOiIyMzgxNTMxNTgifQ==</vt:lpwstr>
  </property>
  <property fmtid="{D5CDD505-2E9C-101B-9397-08002B2CF9AE}" pid="3" name="KSOProductBuildVer">
    <vt:lpwstr>2052-12.1.0.23542</vt:lpwstr>
  </property>
  <property fmtid="{D5CDD505-2E9C-101B-9397-08002B2CF9AE}" pid="4" name="ICV">
    <vt:lpwstr>535D8E0A879E46908C45560E68A91254_12</vt:lpwstr>
  </property>
</Properties>
</file>